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56EA" w14:textId="66D2FEB3" w:rsidR="003D15E2" w:rsidRPr="00766149" w:rsidRDefault="00E87087" w:rsidP="00766149">
      <w:bookmarkStart w:id="0" w:name="_Hlk149221052"/>
      <w:bookmarkEnd w:id="0"/>
      <w:r>
        <w:rPr>
          <w:noProof/>
          <w14:ligatures w14:val="standardContextual"/>
        </w:rPr>
        <w:drawing>
          <wp:anchor distT="0" distB="0" distL="114300" distR="114300" simplePos="0" relativeHeight="251710464" behindDoc="0" locked="0" layoutInCell="1" allowOverlap="1" wp14:anchorId="5ECBEB23" wp14:editId="5EDEC079">
            <wp:simplePos x="0" y="0"/>
            <wp:positionH relativeFrom="page">
              <wp:posOffset>-79375</wp:posOffset>
            </wp:positionH>
            <wp:positionV relativeFrom="margin">
              <wp:posOffset>-835025</wp:posOffset>
            </wp:positionV>
            <wp:extent cx="7742555" cy="10121265"/>
            <wp:effectExtent l="0" t="0" r="0" b="0"/>
            <wp:wrapSquare wrapText="bothSides"/>
            <wp:docPr id="916109542" name="Picture 1" descr="A blue and white cover with a person hugging 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109542" name="Picture 1" descr="A blue and white cover with a person hugging a heart"/>
                    <pic:cNvPicPr/>
                  </pic:nvPicPr>
                  <pic:blipFill>
                    <a:blip r:embed="rId7">
                      <a:extLst>
                        <a:ext uri="{28A0092B-C50C-407E-A947-70E740481C1C}">
                          <a14:useLocalDpi xmlns:a14="http://schemas.microsoft.com/office/drawing/2010/main" val="0"/>
                        </a:ext>
                      </a:extLst>
                    </a:blip>
                    <a:stretch>
                      <a:fillRect/>
                    </a:stretch>
                  </pic:blipFill>
                  <pic:spPr>
                    <a:xfrm>
                      <a:off x="0" y="0"/>
                      <a:ext cx="7742555" cy="10121265"/>
                    </a:xfrm>
                    <a:prstGeom prst="rect">
                      <a:avLst/>
                    </a:prstGeom>
                  </pic:spPr>
                </pic:pic>
              </a:graphicData>
            </a:graphic>
            <wp14:sizeRelH relativeFrom="margin">
              <wp14:pctWidth>0</wp14:pctWidth>
            </wp14:sizeRelH>
            <wp14:sizeRelV relativeFrom="margin">
              <wp14:pctHeight>0</wp14:pctHeight>
            </wp14:sizeRelV>
          </wp:anchor>
        </w:drawing>
      </w:r>
      <w:sdt>
        <w:sdtPr>
          <w:id w:val="1229181464"/>
          <w:docPartObj>
            <w:docPartGallery w:val="Cover Pages"/>
            <w:docPartUnique/>
          </w:docPartObj>
        </w:sdtPr>
        <w:sdtEndPr>
          <w:rPr>
            <w:noProof/>
          </w:rPr>
        </w:sdtEndPr>
        <w:sdtContent>
          <w:r w:rsidR="00981AE0">
            <w:rPr>
              <w:noProof/>
            </w:rPr>
            <mc:AlternateContent>
              <mc:Choice Requires="wps">
                <w:drawing>
                  <wp:anchor distT="0" distB="0" distL="114300" distR="114300" simplePos="0" relativeHeight="251668480" behindDoc="0" locked="0" layoutInCell="1" allowOverlap="1" wp14:anchorId="5A728B39" wp14:editId="788B925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54AE4" w14:textId="4D590473" w:rsidR="00981AE0" w:rsidRDefault="00981AE0" w:rsidP="00981AE0">
                                <w:pPr>
                                  <w:pStyle w:val="NoSpacing"/>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A728B39" id="_x0000_t202" coordsize="21600,21600" o:spt="202" path="m,l,21600r21600,l21600,xe">
                    <v:stroke joinstyle="miter"/>
                    <v:path gradientshapeok="t" o:connecttype="rect"/>
                  </v:shapetype>
                  <v:shape id="Text Box 52" o:spid="_x0000_s1026" type="#_x0000_t202" style="position:absolute;margin-left:0;margin-top:0;width:8in;height:1in;z-index:25166848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48B54AE4" w14:textId="4D590473" w:rsidR="00981AE0" w:rsidRDefault="00981AE0" w:rsidP="00981AE0">
                          <w:pPr>
                            <w:pStyle w:val="NoSpacing"/>
                            <w:jc w:val="center"/>
                            <w:rPr>
                              <w:color w:val="595959" w:themeColor="text1" w:themeTint="A6"/>
                              <w:sz w:val="18"/>
                              <w:szCs w:val="18"/>
                            </w:rPr>
                          </w:pPr>
                        </w:p>
                      </w:txbxContent>
                    </v:textbox>
                    <w10:wrap type="square" anchorx="page" anchory="page"/>
                  </v:shape>
                </w:pict>
              </mc:Fallback>
            </mc:AlternateContent>
          </w:r>
          <w:r w:rsidR="00981AE0">
            <w:rPr>
              <w:noProof/>
            </w:rPr>
            <mc:AlternateContent>
              <mc:Choice Requires="wps">
                <w:drawing>
                  <wp:anchor distT="0" distB="0" distL="114300" distR="114300" simplePos="0" relativeHeight="251669504" behindDoc="0" locked="0" layoutInCell="1" allowOverlap="1" wp14:anchorId="6BB43C58" wp14:editId="7C7BE6BD">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9BE69" w14:textId="3EF4B547" w:rsidR="00981AE0" w:rsidRDefault="00981AE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BB43C58" id="Text Box 53" o:spid="_x0000_s1027" type="#_x0000_t202" style="position:absolute;margin-left:0;margin-top:0;width:8in;height:79.5pt;z-index:25166950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22B9BE69" w14:textId="3EF4B547" w:rsidR="00981AE0" w:rsidRDefault="00981AE0">
                          <w:pPr>
                            <w:pStyle w:val="NoSpacing"/>
                            <w:jc w:val="right"/>
                            <w:rPr>
                              <w:color w:val="595959" w:themeColor="text1" w:themeTint="A6"/>
                              <w:sz w:val="20"/>
                              <w:szCs w:val="20"/>
                            </w:rPr>
                          </w:pPr>
                        </w:p>
                      </w:txbxContent>
                    </v:textbox>
                    <w10:wrap type="square" anchorx="page" anchory="page"/>
                  </v:shape>
                </w:pict>
              </mc:Fallback>
            </mc:AlternateContent>
          </w:r>
          <w:r w:rsidR="00981AE0">
            <w:rPr>
              <w:noProof/>
            </w:rPr>
            <mc:AlternateContent>
              <mc:Choice Requires="wps">
                <w:drawing>
                  <wp:anchor distT="0" distB="0" distL="114300" distR="114300" simplePos="0" relativeHeight="251667456" behindDoc="0" locked="0" layoutInCell="1" allowOverlap="1" wp14:anchorId="384FDAB8" wp14:editId="6A869AA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912F6" w14:textId="360EBECB" w:rsidR="00981AE0" w:rsidRDefault="00981AE0" w:rsidP="00981AE0">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84FDAB8" id="Text Box 54" o:spid="_x0000_s1028" type="#_x0000_t202" style="position:absolute;margin-left:0;margin-top:0;width:8in;height:286.5pt;z-index:25166745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2E9912F6" w14:textId="360EBECB" w:rsidR="00981AE0" w:rsidRDefault="00981AE0" w:rsidP="00981AE0">
                          <w:pPr>
                            <w:jc w:val="center"/>
                            <w:rPr>
                              <w:smallCaps/>
                              <w:color w:val="404040" w:themeColor="text1" w:themeTint="BF"/>
                              <w:sz w:val="36"/>
                              <w:szCs w:val="36"/>
                            </w:rPr>
                          </w:pPr>
                        </w:p>
                      </w:txbxContent>
                    </v:textbox>
                    <w10:wrap type="square" anchorx="page" anchory="page"/>
                  </v:shape>
                </w:pict>
              </mc:Fallback>
            </mc:AlternateContent>
          </w:r>
        </w:sdtContent>
      </w:sdt>
      <w:r w:rsidR="003D15E2" w:rsidRPr="00A57DB1">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PROJEC</w:t>
      </w:r>
    </w:p>
    <w:p w14:paraId="6CE10913" w14:textId="7F3A4FEE" w:rsidR="003D15E2" w:rsidRPr="009D464F" w:rsidRDefault="008C65B7" w:rsidP="009D464F">
      <w:pPr>
        <w:shd w:val="clear" w:color="auto" w:fill="4472C4" w:themeFill="accent1"/>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149226468"/>
      <w: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733157" w:rsidRPr="009D464F">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OVERVIEW</w:t>
      </w:r>
    </w:p>
    <w:bookmarkEnd w:id="1"/>
    <w:p w14:paraId="200D72C4" w14:textId="77777777" w:rsidR="003D15E2" w:rsidRDefault="003D15E2" w:rsidP="003D15E2">
      <w:pPr>
        <w:jc w:val="both"/>
      </w:pPr>
    </w:p>
    <w:p w14:paraId="3EF8799B" w14:textId="66A928F3" w:rsidR="003D15E2" w:rsidRDefault="003D15E2" w:rsidP="003D15E2">
      <w:pPr>
        <w:rPr>
          <w:rFonts w:cstheme="minorHAnsi"/>
        </w:rPr>
      </w:pPr>
      <w:r>
        <w:rPr>
          <w:rFonts w:cstheme="minorHAnsi"/>
        </w:rPr>
        <w:t xml:space="preserve">SMCAA </w:t>
      </w:r>
      <w:r w:rsidR="0034618C">
        <w:rPr>
          <w:rFonts w:cstheme="minorHAnsi"/>
        </w:rPr>
        <w:t>knows the importance of the</w:t>
      </w:r>
      <w:r>
        <w:rPr>
          <w:rFonts w:cstheme="minorHAnsi"/>
        </w:rPr>
        <w:t xml:space="preserve"> holistic experience when it comes to meeting the needs of our clients. To properly care for our community, </w:t>
      </w:r>
      <w:r w:rsidR="0030048C">
        <w:rPr>
          <w:rFonts w:cstheme="minorHAnsi"/>
        </w:rPr>
        <w:t>we must</w:t>
      </w:r>
      <w:r>
        <w:rPr>
          <w:rFonts w:cstheme="minorHAnsi"/>
        </w:rPr>
        <w:t xml:space="preserve"> </w:t>
      </w:r>
      <w:r w:rsidR="00EA2AF8">
        <w:rPr>
          <w:rFonts w:cstheme="minorHAnsi"/>
        </w:rPr>
        <w:t xml:space="preserve">strive to </w:t>
      </w:r>
      <w:r>
        <w:rPr>
          <w:rFonts w:cstheme="minorHAnsi"/>
        </w:rPr>
        <w:t>not only provide</w:t>
      </w:r>
      <w:r w:rsidR="0030048C">
        <w:rPr>
          <w:rFonts w:cstheme="minorHAnsi"/>
        </w:rPr>
        <w:t xml:space="preserve"> </w:t>
      </w:r>
      <w:r>
        <w:rPr>
          <w:rFonts w:cstheme="minorHAnsi"/>
        </w:rPr>
        <w:t>resources</w:t>
      </w:r>
      <w:r w:rsidR="002D7E51">
        <w:rPr>
          <w:rFonts w:cstheme="minorHAnsi"/>
        </w:rPr>
        <w:t xml:space="preserve">, </w:t>
      </w:r>
      <w:r>
        <w:rPr>
          <w:rFonts w:cstheme="minorHAnsi"/>
        </w:rPr>
        <w:t>but t</w:t>
      </w:r>
      <w:r w:rsidR="002D7E51">
        <w:rPr>
          <w:rFonts w:cstheme="minorHAnsi"/>
        </w:rPr>
        <w:t xml:space="preserve">o </w:t>
      </w:r>
      <w:r w:rsidR="00DD1996">
        <w:rPr>
          <w:rFonts w:cstheme="minorHAnsi"/>
        </w:rPr>
        <w:t>include</w:t>
      </w:r>
      <w:r w:rsidR="00635EB0">
        <w:rPr>
          <w:rFonts w:cstheme="minorHAnsi"/>
        </w:rPr>
        <w:t xml:space="preserve"> a positive experience where all clients are </w:t>
      </w:r>
      <w:r>
        <w:rPr>
          <w:rFonts w:cstheme="minorHAnsi"/>
        </w:rPr>
        <w:t>treated with respect, professionalism, and warmth</w:t>
      </w:r>
      <w:r w:rsidR="00F461E8">
        <w:rPr>
          <w:rFonts w:cstheme="minorHAnsi"/>
        </w:rPr>
        <w:t xml:space="preserve">, </w:t>
      </w:r>
      <w:r w:rsidR="00635EB0">
        <w:rPr>
          <w:rFonts w:cstheme="minorHAnsi"/>
        </w:rPr>
        <w:t xml:space="preserve">so </w:t>
      </w:r>
      <w:r w:rsidR="00F461E8">
        <w:rPr>
          <w:rFonts w:cstheme="minorHAnsi"/>
        </w:rPr>
        <w:t xml:space="preserve">that </w:t>
      </w:r>
      <w:r w:rsidR="00635EB0">
        <w:rPr>
          <w:rFonts w:cstheme="minorHAnsi"/>
        </w:rPr>
        <w:t xml:space="preserve">we </w:t>
      </w:r>
      <w:r w:rsidR="0032437A">
        <w:rPr>
          <w:rFonts w:cstheme="minorHAnsi"/>
        </w:rPr>
        <w:t xml:space="preserve">can remain a </w:t>
      </w:r>
      <w:r>
        <w:rPr>
          <w:rFonts w:cstheme="minorHAnsi"/>
        </w:rPr>
        <w:t xml:space="preserve">beacon of support in </w:t>
      </w:r>
      <w:r w:rsidR="0032437A">
        <w:rPr>
          <w:rFonts w:cstheme="minorHAnsi"/>
        </w:rPr>
        <w:t>the</w:t>
      </w:r>
      <w:r>
        <w:rPr>
          <w:rFonts w:cstheme="minorHAnsi"/>
        </w:rPr>
        <w:t xml:space="preserve"> tri-county area</w:t>
      </w:r>
      <w:r w:rsidR="00635EB0">
        <w:rPr>
          <w:rFonts w:cstheme="minorHAnsi"/>
        </w:rPr>
        <w:t xml:space="preserve">. </w:t>
      </w:r>
    </w:p>
    <w:p w14:paraId="5D5E162F" w14:textId="77777777" w:rsidR="003D15E2" w:rsidRDefault="003D15E2" w:rsidP="003D15E2">
      <w:pPr>
        <w:rPr>
          <w:rFonts w:cstheme="minorHAnsi"/>
        </w:rPr>
      </w:pPr>
    </w:p>
    <w:p w14:paraId="7D85F1F8" w14:textId="5704B7BB" w:rsidR="003D15E2" w:rsidRDefault="003D15E2" w:rsidP="003D15E2">
      <w:pPr>
        <w:rPr>
          <w:rFonts w:cstheme="minorHAnsi"/>
        </w:rPr>
      </w:pPr>
      <w:r>
        <w:rPr>
          <w:rFonts w:cstheme="minorHAnsi"/>
        </w:rPr>
        <w:t>Client Satisfaction Surveys were developed</w:t>
      </w:r>
      <w:r w:rsidR="0050212E">
        <w:rPr>
          <w:rFonts w:cstheme="minorHAnsi"/>
        </w:rPr>
        <w:t xml:space="preserve"> </w:t>
      </w:r>
      <w:r>
        <w:rPr>
          <w:rFonts w:cstheme="minorHAnsi"/>
        </w:rPr>
        <w:t xml:space="preserve">as a means of tracking the client experience to ensure we are supporting our mission to “empower diverse people in need and support their journey toward economic security” with every interaction. </w:t>
      </w:r>
    </w:p>
    <w:p w14:paraId="16A0C2B0" w14:textId="77777777" w:rsidR="003D15E2" w:rsidRDefault="003D15E2" w:rsidP="003D15E2">
      <w:pPr>
        <w:rPr>
          <w:rFonts w:cstheme="minorHAnsi"/>
        </w:rPr>
      </w:pPr>
    </w:p>
    <w:p w14:paraId="30599CB3" w14:textId="1A166D1B" w:rsidR="003D15E2" w:rsidRDefault="003D15E2" w:rsidP="003D15E2">
      <w:pPr>
        <w:rPr>
          <w:rFonts w:cstheme="minorHAnsi"/>
        </w:rPr>
      </w:pPr>
      <w:r>
        <w:rPr>
          <w:rFonts w:cstheme="minorHAnsi"/>
        </w:rPr>
        <w:t>Client satisfaction is vital for many reasons</w:t>
      </w:r>
      <w:r w:rsidR="00872390">
        <w:rPr>
          <w:rFonts w:cstheme="minorHAnsi"/>
        </w:rPr>
        <w:t>:</w:t>
      </w:r>
    </w:p>
    <w:p w14:paraId="6671641B" w14:textId="77777777" w:rsidR="003F3088" w:rsidRDefault="003D15E2" w:rsidP="003F3088">
      <w:pPr>
        <w:pStyle w:val="ListParagraph"/>
        <w:numPr>
          <w:ilvl w:val="0"/>
          <w:numId w:val="1"/>
        </w:numPr>
        <w:rPr>
          <w:rFonts w:cstheme="minorHAnsi"/>
        </w:rPr>
      </w:pPr>
      <w:r w:rsidRPr="004E409C">
        <w:rPr>
          <w:rFonts w:cstheme="minorHAnsi"/>
        </w:rPr>
        <w:t xml:space="preserve">It directly affects the clients’ </w:t>
      </w:r>
      <w:r w:rsidR="00872390">
        <w:rPr>
          <w:rFonts w:cstheme="minorHAnsi"/>
        </w:rPr>
        <w:t>receipt of</w:t>
      </w:r>
      <w:r w:rsidRPr="004E409C">
        <w:rPr>
          <w:rFonts w:cstheme="minorHAnsi"/>
        </w:rPr>
        <w:t xml:space="preserve"> services</w:t>
      </w:r>
      <w:r w:rsidR="00BF2AF7">
        <w:rPr>
          <w:rFonts w:cstheme="minorHAnsi"/>
        </w:rPr>
        <w:t xml:space="preserve"> and </w:t>
      </w:r>
      <w:r w:rsidRPr="004E409C">
        <w:rPr>
          <w:rFonts w:cstheme="minorHAnsi"/>
        </w:rPr>
        <w:t>return rate</w:t>
      </w:r>
    </w:p>
    <w:p w14:paraId="47A5A005" w14:textId="5D679A05" w:rsidR="003F3088" w:rsidRDefault="003F3088" w:rsidP="003F3088">
      <w:pPr>
        <w:pStyle w:val="ListParagraph"/>
        <w:numPr>
          <w:ilvl w:val="0"/>
          <w:numId w:val="1"/>
        </w:numPr>
        <w:rPr>
          <w:rFonts w:cstheme="minorHAnsi"/>
        </w:rPr>
      </w:pPr>
      <w:r>
        <w:rPr>
          <w:rFonts w:cstheme="minorHAnsi"/>
        </w:rPr>
        <w:t>It impacts the clients’ level of</w:t>
      </w:r>
      <w:r w:rsidR="003D15E2" w:rsidRPr="003F3088">
        <w:rPr>
          <w:rFonts w:cstheme="minorHAnsi"/>
        </w:rPr>
        <w:t xml:space="preserve"> empowerment</w:t>
      </w:r>
      <w:r>
        <w:rPr>
          <w:rFonts w:cstheme="minorHAnsi"/>
        </w:rPr>
        <w:t xml:space="preserve">, a direct </w:t>
      </w:r>
      <w:r w:rsidR="00381E25">
        <w:rPr>
          <w:rFonts w:cstheme="minorHAnsi"/>
        </w:rPr>
        <w:t>aspect of our mission</w:t>
      </w:r>
    </w:p>
    <w:p w14:paraId="78DD52CB" w14:textId="190AC219" w:rsidR="003D15E2" w:rsidRPr="003F3088" w:rsidRDefault="003F3088" w:rsidP="003F3088">
      <w:pPr>
        <w:pStyle w:val="ListParagraph"/>
        <w:numPr>
          <w:ilvl w:val="0"/>
          <w:numId w:val="1"/>
        </w:numPr>
        <w:rPr>
          <w:rFonts w:cstheme="minorHAnsi"/>
        </w:rPr>
      </w:pPr>
      <w:r>
        <w:rPr>
          <w:rFonts w:cstheme="minorHAnsi"/>
        </w:rPr>
        <w:t xml:space="preserve">It </w:t>
      </w:r>
      <w:r w:rsidR="00381E25">
        <w:rPr>
          <w:rFonts w:cstheme="minorHAnsi"/>
        </w:rPr>
        <w:t>drives</w:t>
      </w:r>
      <w:r w:rsidR="003D15E2" w:rsidRPr="003F3088">
        <w:rPr>
          <w:rFonts w:cstheme="minorHAnsi"/>
        </w:rPr>
        <w:t xml:space="preserve"> referrals</w:t>
      </w:r>
      <w:r>
        <w:rPr>
          <w:rFonts w:cstheme="minorHAnsi"/>
        </w:rPr>
        <w:t xml:space="preserve"> and community awareness</w:t>
      </w:r>
    </w:p>
    <w:p w14:paraId="5DBE38CB" w14:textId="77777777" w:rsidR="003D15E2" w:rsidRDefault="003D15E2" w:rsidP="003D15E2">
      <w:pPr>
        <w:pStyle w:val="ListParagraph"/>
        <w:numPr>
          <w:ilvl w:val="0"/>
          <w:numId w:val="1"/>
        </w:numPr>
        <w:rPr>
          <w:rFonts w:cstheme="minorHAnsi"/>
        </w:rPr>
      </w:pPr>
      <w:r w:rsidRPr="004E409C">
        <w:rPr>
          <w:rFonts w:cstheme="minorHAnsi"/>
        </w:rPr>
        <w:t>It is a key component of the ROMA Cycle</w:t>
      </w:r>
    </w:p>
    <w:p w14:paraId="6595B81C" w14:textId="4F060E6B" w:rsidR="003D15E2" w:rsidRDefault="003D15E2" w:rsidP="003D15E2">
      <w:pPr>
        <w:pStyle w:val="ListParagraph"/>
        <w:numPr>
          <w:ilvl w:val="0"/>
          <w:numId w:val="1"/>
        </w:numPr>
        <w:rPr>
          <w:rFonts w:cstheme="minorHAnsi"/>
        </w:rPr>
      </w:pPr>
      <w:r w:rsidRPr="004E409C">
        <w:rPr>
          <w:rFonts w:cstheme="minorHAnsi"/>
        </w:rPr>
        <w:t xml:space="preserve">Collected data helps </w:t>
      </w:r>
      <w:r w:rsidR="00381E25">
        <w:rPr>
          <w:rFonts w:cstheme="minorHAnsi"/>
        </w:rPr>
        <w:t>develop</w:t>
      </w:r>
      <w:r w:rsidRPr="004E409C">
        <w:rPr>
          <w:rFonts w:cstheme="minorHAnsi"/>
        </w:rPr>
        <w:t xml:space="preserve"> </w:t>
      </w:r>
      <w:r>
        <w:rPr>
          <w:rFonts w:cstheme="minorHAnsi"/>
        </w:rPr>
        <w:t>SMCAA’s</w:t>
      </w:r>
      <w:r w:rsidRPr="004E409C">
        <w:rPr>
          <w:rFonts w:cstheme="minorHAnsi"/>
        </w:rPr>
        <w:t xml:space="preserve"> Community Needs Assessment and Strategic Plan</w:t>
      </w:r>
    </w:p>
    <w:p w14:paraId="3BC4E762" w14:textId="4DC24620" w:rsidR="003D15E2" w:rsidRDefault="003D15E2" w:rsidP="003D15E2">
      <w:pPr>
        <w:pStyle w:val="ListParagraph"/>
        <w:numPr>
          <w:ilvl w:val="0"/>
          <w:numId w:val="1"/>
        </w:numPr>
        <w:rPr>
          <w:rFonts w:cstheme="minorHAnsi"/>
        </w:rPr>
      </w:pPr>
      <w:r>
        <w:rPr>
          <w:rFonts w:cstheme="minorHAnsi"/>
        </w:rPr>
        <w:t xml:space="preserve">Competitive grants often review satisfaction results </w:t>
      </w:r>
      <w:r w:rsidR="001400C3">
        <w:rPr>
          <w:rFonts w:cstheme="minorHAnsi"/>
        </w:rPr>
        <w:t xml:space="preserve">when </w:t>
      </w:r>
      <w:r>
        <w:rPr>
          <w:rFonts w:cstheme="minorHAnsi"/>
        </w:rPr>
        <w:t>award</w:t>
      </w:r>
      <w:r w:rsidR="001400C3">
        <w:rPr>
          <w:rFonts w:cstheme="minorHAnsi"/>
        </w:rPr>
        <w:t>ing</w:t>
      </w:r>
      <w:r>
        <w:rPr>
          <w:rFonts w:cstheme="minorHAnsi"/>
        </w:rPr>
        <w:t xml:space="preserve"> funding</w:t>
      </w:r>
    </w:p>
    <w:p w14:paraId="0BED72F2" w14:textId="77777777" w:rsidR="003D15E2" w:rsidRDefault="003D15E2" w:rsidP="003D15E2">
      <w:pPr>
        <w:pStyle w:val="ListParagraph"/>
        <w:numPr>
          <w:ilvl w:val="0"/>
          <w:numId w:val="1"/>
        </w:numPr>
        <w:rPr>
          <w:rFonts w:cstheme="minorHAnsi"/>
        </w:rPr>
      </w:pPr>
      <w:r>
        <w:rPr>
          <w:rFonts w:cstheme="minorHAnsi"/>
        </w:rPr>
        <w:t>It is required by Organizational Standards 1.3 and 6.4</w:t>
      </w:r>
    </w:p>
    <w:p w14:paraId="080C9BEE" w14:textId="77777777" w:rsidR="005E6E4A" w:rsidRDefault="00872390" w:rsidP="005E6E4A">
      <w:pPr>
        <w:pStyle w:val="ListParagraph"/>
        <w:numPr>
          <w:ilvl w:val="0"/>
          <w:numId w:val="1"/>
        </w:numPr>
        <w:rPr>
          <w:rFonts w:cstheme="minorHAnsi"/>
        </w:rPr>
      </w:pPr>
      <w:r>
        <w:rPr>
          <w:rFonts w:cstheme="minorHAnsi"/>
        </w:rPr>
        <w:t>And much more</w:t>
      </w:r>
    </w:p>
    <w:p w14:paraId="37D3C1AC" w14:textId="77777777" w:rsidR="005E6E4A" w:rsidRPr="005E6E4A" w:rsidRDefault="005E6E4A" w:rsidP="005E6E4A">
      <w:pPr>
        <w:rPr>
          <w:rFonts w:cstheme="minorHAnsi"/>
        </w:rPr>
      </w:pPr>
    </w:p>
    <w:p w14:paraId="62CD72E8" w14:textId="158D2721" w:rsidR="005E6E4A" w:rsidRPr="005E6E4A" w:rsidRDefault="008C65B7" w:rsidP="005E6E4A">
      <w:pPr>
        <w:shd w:val="clear" w:color="auto" w:fill="4472C4" w:themeFill="accent1"/>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6E4A">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METHODS OF DISTRIBUTION </w:t>
      </w:r>
    </w:p>
    <w:p w14:paraId="4D530C7C" w14:textId="77777777" w:rsidR="008C65B7" w:rsidRDefault="008C65B7" w:rsidP="003D15E2">
      <w:pPr>
        <w:rPr>
          <w:rFonts w:cstheme="minorHAnsi"/>
        </w:rPr>
      </w:pPr>
    </w:p>
    <w:p w14:paraId="41190292" w14:textId="3F539F05" w:rsidR="003D15E2" w:rsidRDefault="003D15E2" w:rsidP="003D15E2">
      <w:pPr>
        <w:rPr>
          <w:rFonts w:cstheme="minorHAnsi"/>
        </w:rPr>
      </w:pPr>
      <w:r>
        <w:rPr>
          <w:rFonts w:cstheme="minorHAnsi"/>
        </w:rPr>
        <w:t>A survey is provided to every client who receives services from SMCAA. Clients may receive multiple surveys if they receive services from more than one program. Information about the survey, its purpose, and length</w:t>
      </w:r>
      <w:r w:rsidR="008C65B7">
        <w:rPr>
          <w:rFonts w:cstheme="minorHAnsi"/>
        </w:rPr>
        <w:t xml:space="preserve"> </w:t>
      </w:r>
      <w:r>
        <w:rPr>
          <w:rFonts w:cstheme="minorHAnsi"/>
        </w:rPr>
        <w:t xml:space="preserve">are provided </w:t>
      </w:r>
      <w:r w:rsidR="008C65B7">
        <w:rPr>
          <w:rFonts w:cstheme="minorHAnsi"/>
        </w:rPr>
        <w:t>to</w:t>
      </w:r>
      <w:r>
        <w:rPr>
          <w:rFonts w:cstheme="minorHAnsi"/>
        </w:rPr>
        <w:t xml:space="preserve"> encourage participation. </w:t>
      </w:r>
    </w:p>
    <w:p w14:paraId="7784837C" w14:textId="77777777" w:rsidR="003D15E2" w:rsidRDefault="003D15E2" w:rsidP="003D15E2">
      <w:pPr>
        <w:rPr>
          <w:rFonts w:cstheme="minorHAnsi"/>
        </w:rPr>
      </w:pPr>
    </w:p>
    <w:p w14:paraId="31B53431" w14:textId="77777777" w:rsidR="003D15E2" w:rsidRDefault="003D15E2" w:rsidP="003D15E2">
      <w:pPr>
        <w:rPr>
          <w:rFonts w:cstheme="minorHAnsi"/>
        </w:rPr>
      </w:pPr>
      <w:r>
        <w:rPr>
          <w:rFonts w:cstheme="minorHAnsi"/>
        </w:rPr>
        <w:t>Surveys are distributed in a number of ways:</w:t>
      </w:r>
    </w:p>
    <w:p w14:paraId="0FA0174B" w14:textId="77777777" w:rsidR="003D15E2" w:rsidRDefault="003D15E2" w:rsidP="003D15E2">
      <w:pPr>
        <w:pStyle w:val="ListParagraph"/>
        <w:numPr>
          <w:ilvl w:val="0"/>
          <w:numId w:val="2"/>
        </w:numPr>
        <w:rPr>
          <w:rFonts w:cstheme="minorHAnsi"/>
        </w:rPr>
      </w:pPr>
      <w:r w:rsidRPr="00FC2650">
        <w:rPr>
          <w:rFonts w:cstheme="minorHAnsi"/>
        </w:rPr>
        <w:t>A link to a digital survey is provided to the client via email</w:t>
      </w:r>
    </w:p>
    <w:p w14:paraId="0BAA4369" w14:textId="317FFEE3" w:rsidR="003D15E2" w:rsidRDefault="003D15E2" w:rsidP="003D15E2">
      <w:pPr>
        <w:pStyle w:val="ListParagraph"/>
        <w:numPr>
          <w:ilvl w:val="0"/>
          <w:numId w:val="2"/>
        </w:numPr>
        <w:rPr>
          <w:rFonts w:cstheme="minorHAnsi"/>
        </w:rPr>
      </w:pPr>
      <w:r>
        <w:rPr>
          <w:rFonts w:cstheme="minorHAnsi"/>
        </w:rPr>
        <w:t>A hard copy, including a return envelope, is mailed to the client</w:t>
      </w:r>
      <w:r w:rsidR="00B62ADE">
        <w:rPr>
          <w:rFonts w:cstheme="minorHAnsi"/>
        </w:rPr>
        <w:t>’s home</w:t>
      </w:r>
    </w:p>
    <w:p w14:paraId="1DE8B83D" w14:textId="25A6BAF3" w:rsidR="003D15E2" w:rsidRDefault="003D15E2" w:rsidP="003D15E2">
      <w:pPr>
        <w:pStyle w:val="ListParagraph"/>
        <w:numPr>
          <w:ilvl w:val="0"/>
          <w:numId w:val="2"/>
        </w:numPr>
        <w:rPr>
          <w:rFonts w:cstheme="minorHAnsi"/>
        </w:rPr>
      </w:pPr>
      <w:r>
        <w:rPr>
          <w:rFonts w:cstheme="minorHAnsi"/>
        </w:rPr>
        <w:t>The survey is available</w:t>
      </w:r>
      <w:r w:rsidR="00B62ADE">
        <w:rPr>
          <w:rFonts w:cstheme="minorHAnsi"/>
        </w:rPr>
        <w:t xml:space="preserve"> to complete</w:t>
      </w:r>
      <w:r>
        <w:rPr>
          <w:rFonts w:cstheme="minorHAnsi"/>
        </w:rPr>
        <w:t xml:space="preserve"> on the SMCAA.COM homepage </w:t>
      </w:r>
    </w:p>
    <w:p w14:paraId="03F0AC45" w14:textId="07FBD161" w:rsidR="003D15E2" w:rsidRDefault="003D15E2" w:rsidP="003D15E2">
      <w:pPr>
        <w:pStyle w:val="ListParagraph"/>
        <w:numPr>
          <w:ilvl w:val="0"/>
          <w:numId w:val="2"/>
        </w:numPr>
        <w:rPr>
          <w:rFonts w:cstheme="minorHAnsi"/>
        </w:rPr>
      </w:pPr>
      <w:r>
        <w:rPr>
          <w:rFonts w:cstheme="minorHAnsi"/>
        </w:rPr>
        <w:t>A hard copy is handed to the client</w:t>
      </w:r>
      <w:r w:rsidR="00B62ADE">
        <w:rPr>
          <w:rFonts w:cstheme="minorHAnsi"/>
        </w:rPr>
        <w:t xml:space="preserve"> in person</w:t>
      </w:r>
      <w:r>
        <w:rPr>
          <w:rFonts w:cstheme="minorHAnsi"/>
        </w:rPr>
        <w:t>, if applicable</w:t>
      </w:r>
    </w:p>
    <w:p w14:paraId="430D77B5" w14:textId="77777777" w:rsidR="003D15E2" w:rsidRPr="00F77138" w:rsidRDefault="003D15E2" w:rsidP="003D15E2">
      <w:pPr>
        <w:ind w:left="1080"/>
        <w:rPr>
          <w:rFonts w:cstheme="minorHAnsi"/>
        </w:rPr>
      </w:pPr>
    </w:p>
    <w:p w14:paraId="76B62DC5" w14:textId="77777777" w:rsidR="003D15E2" w:rsidRDefault="003D15E2" w:rsidP="003D15E2">
      <w:pPr>
        <w:rPr>
          <w:rFonts w:cstheme="minorHAnsi"/>
        </w:rPr>
      </w:pPr>
      <w:r>
        <w:rPr>
          <w:rFonts w:cstheme="minorHAnsi"/>
        </w:rPr>
        <w:t>Client Satisfaction Survey Goals</w:t>
      </w:r>
    </w:p>
    <w:p w14:paraId="4606E8A9" w14:textId="77777777" w:rsidR="003D15E2" w:rsidRDefault="003D15E2" w:rsidP="003D15E2">
      <w:pPr>
        <w:pStyle w:val="ListParagraph"/>
        <w:numPr>
          <w:ilvl w:val="0"/>
          <w:numId w:val="3"/>
        </w:numPr>
        <w:rPr>
          <w:rFonts w:cstheme="minorHAnsi"/>
        </w:rPr>
      </w:pPr>
      <w:r>
        <w:rPr>
          <w:rFonts w:cstheme="minorHAnsi"/>
        </w:rPr>
        <w:t>To assess the performance of our client service experience</w:t>
      </w:r>
    </w:p>
    <w:p w14:paraId="12186C3F" w14:textId="3549E606" w:rsidR="003D15E2" w:rsidRDefault="003D15E2" w:rsidP="003D15E2">
      <w:pPr>
        <w:pStyle w:val="ListParagraph"/>
        <w:numPr>
          <w:ilvl w:val="0"/>
          <w:numId w:val="3"/>
        </w:numPr>
        <w:rPr>
          <w:rFonts w:cstheme="minorHAnsi"/>
        </w:rPr>
      </w:pPr>
      <w:r>
        <w:rPr>
          <w:rFonts w:cstheme="minorHAnsi"/>
        </w:rPr>
        <w:t>To further understand the needs of our client</w:t>
      </w:r>
      <w:r w:rsidR="005E6E55">
        <w:rPr>
          <w:rFonts w:cstheme="minorHAnsi"/>
        </w:rPr>
        <w:t>s and community</w:t>
      </w:r>
    </w:p>
    <w:p w14:paraId="4DFD5FFD" w14:textId="42CA27CE" w:rsidR="003D15E2" w:rsidRDefault="003D15E2" w:rsidP="003D15E2">
      <w:pPr>
        <w:pStyle w:val="ListParagraph"/>
        <w:numPr>
          <w:ilvl w:val="0"/>
          <w:numId w:val="3"/>
        </w:numPr>
        <w:rPr>
          <w:rFonts w:cstheme="minorHAnsi"/>
        </w:rPr>
      </w:pPr>
      <w:r w:rsidRPr="00A667CF">
        <w:rPr>
          <w:rFonts w:cstheme="minorHAnsi"/>
        </w:rPr>
        <w:t xml:space="preserve">To analyze results as a means </w:t>
      </w:r>
      <w:r w:rsidR="00AB666A">
        <w:rPr>
          <w:rFonts w:cstheme="minorHAnsi"/>
        </w:rPr>
        <w:t xml:space="preserve">of </w:t>
      </w:r>
      <w:r w:rsidRPr="00A667CF">
        <w:rPr>
          <w:rFonts w:cstheme="minorHAnsi"/>
        </w:rPr>
        <w:t>making improvements</w:t>
      </w:r>
    </w:p>
    <w:p w14:paraId="0C58421B" w14:textId="13821C6C" w:rsidR="003D15E2" w:rsidRDefault="00D658CF" w:rsidP="003D15E2">
      <w:pPr>
        <w:pStyle w:val="ListParagraph"/>
        <w:numPr>
          <w:ilvl w:val="0"/>
          <w:numId w:val="3"/>
        </w:numPr>
        <w:rPr>
          <w:rFonts w:cstheme="minorHAnsi"/>
        </w:rPr>
      </w:pPr>
      <w:r>
        <w:rPr>
          <w:rFonts w:cstheme="minorHAnsi"/>
        </w:rPr>
        <w:t>Use</w:t>
      </w:r>
      <w:r w:rsidR="003D15E2">
        <w:rPr>
          <w:rFonts w:cstheme="minorHAnsi"/>
        </w:rPr>
        <w:t xml:space="preserve"> survey data to inform and shape action and strategy</w:t>
      </w:r>
      <w:r>
        <w:rPr>
          <w:rFonts w:cstheme="minorHAnsi"/>
        </w:rPr>
        <w:t xml:space="preserve"> annually</w:t>
      </w:r>
    </w:p>
    <w:p w14:paraId="3AA25C7D" w14:textId="0A925177" w:rsidR="0075092B" w:rsidRDefault="0075092B" w:rsidP="003D15E2">
      <w:pPr>
        <w:pStyle w:val="ListParagraph"/>
        <w:numPr>
          <w:ilvl w:val="0"/>
          <w:numId w:val="3"/>
        </w:numPr>
        <w:rPr>
          <w:rFonts w:cstheme="minorHAnsi"/>
        </w:rPr>
      </w:pPr>
      <w:r>
        <w:rPr>
          <w:rFonts w:cstheme="minorHAnsi"/>
        </w:rPr>
        <w:t>To address areas of concern</w:t>
      </w:r>
      <w:r w:rsidR="00AB666A">
        <w:rPr>
          <w:rFonts w:cstheme="minorHAnsi"/>
        </w:rPr>
        <w:t xml:space="preserve"> and resolve issues</w:t>
      </w:r>
    </w:p>
    <w:p w14:paraId="1B795254" w14:textId="77777777" w:rsidR="009869CA" w:rsidRDefault="009869CA">
      <w:pPr>
        <w:rPr>
          <w:rFonts w:cstheme="minorHAnsi"/>
        </w:rPr>
      </w:pPr>
    </w:p>
    <w:p w14:paraId="5B0567F6" w14:textId="77777777" w:rsidR="00B62ADE" w:rsidRDefault="00B62ADE">
      <w:pPr>
        <w:rPr>
          <w:rFonts w:cstheme="minorHAnsi"/>
        </w:rPr>
      </w:pPr>
    </w:p>
    <w:p w14:paraId="799FAEBD" w14:textId="77777777" w:rsidR="00847978" w:rsidRDefault="00847978" w:rsidP="00847978">
      <w:pPr>
        <w:rPr>
          <w:rFonts w:cstheme="minorHAnsi"/>
        </w:rPr>
      </w:pPr>
    </w:p>
    <w:p w14:paraId="2D6B2BAB" w14:textId="77777777" w:rsidR="00552ED2" w:rsidRDefault="00552ED2" w:rsidP="00847978">
      <w:pPr>
        <w:rPr>
          <w:noProof/>
        </w:rPr>
      </w:pPr>
    </w:p>
    <w:p w14:paraId="7DFF76CD" w14:textId="3BA657B3" w:rsidR="00847978" w:rsidRPr="002C4044" w:rsidRDefault="00847978" w:rsidP="00847978">
      <w:pPr>
        <w:shd w:val="clear" w:color="auto" w:fill="4472C4" w:themeFill="accent1"/>
        <w:rPr>
          <w:b/>
          <w:noProof/>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SURVEY COMPLETION RATE</w:t>
      </w:r>
    </w:p>
    <w:p w14:paraId="6A5306D8" w14:textId="77777777" w:rsidR="00F36A12" w:rsidRDefault="00F36A12">
      <w:pPr>
        <w:rPr>
          <w:noProof/>
        </w:rPr>
      </w:pPr>
    </w:p>
    <w:p w14:paraId="5D980204" w14:textId="06055DCC" w:rsidR="00BC1BBE" w:rsidRPr="009E4E49" w:rsidRDefault="00552ED2">
      <w:pPr>
        <w:rPr>
          <w:i/>
          <w:iCs/>
          <w:noProof/>
        </w:rPr>
      </w:pPr>
      <w:r w:rsidRPr="009E4E49">
        <w:rPr>
          <w:i/>
          <w:iCs/>
          <w:noProof/>
        </w:rPr>
        <w:t xml:space="preserve">Survey </w:t>
      </w:r>
      <w:r w:rsidR="00BC1BBE" w:rsidRPr="009E4E49">
        <w:rPr>
          <w:i/>
          <w:iCs/>
          <w:noProof/>
        </w:rPr>
        <w:t xml:space="preserve">Published: </w:t>
      </w:r>
      <w:r w:rsidR="001B1C88" w:rsidRPr="009E4E49">
        <w:rPr>
          <w:i/>
          <w:iCs/>
          <w:noProof/>
        </w:rPr>
        <w:t>October 1, 2022</w:t>
      </w:r>
      <w:r w:rsidR="001B1C88" w:rsidRPr="009E4E49">
        <w:rPr>
          <w:i/>
          <w:iCs/>
          <w:noProof/>
        </w:rPr>
        <w:tab/>
      </w:r>
      <w:r w:rsidR="001B1C88" w:rsidRPr="009E4E49">
        <w:rPr>
          <w:i/>
          <w:iCs/>
          <w:noProof/>
        </w:rPr>
        <w:tab/>
      </w:r>
      <w:r w:rsidRPr="009E4E49">
        <w:rPr>
          <w:i/>
          <w:iCs/>
          <w:noProof/>
        </w:rPr>
        <w:t xml:space="preserve">Survey </w:t>
      </w:r>
      <w:r w:rsidR="001B1C88" w:rsidRPr="009E4E49">
        <w:rPr>
          <w:i/>
          <w:iCs/>
          <w:noProof/>
        </w:rPr>
        <w:t>Closed: September 30,  2023</w:t>
      </w:r>
    </w:p>
    <w:p w14:paraId="213C8F4B" w14:textId="77777777" w:rsidR="00BC1BBE" w:rsidRDefault="00BC1BBE">
      <w:pPr>
        <w:rPr>
          <w:noProof/>
        </w:rPr>
      </w:pPr>
    </w:p>
    <w:p w14:paraId="7AC17064" w14:textId="2E7C654B" w:rsidR="00BC1BBE" w:rsidRPr="009E4E49" w:rsidRDefault="00BC1BBE">
      <w:pPr>
        <w:rPr>
          <w:b/>
          <w:bCs/>
          <w:noProof/>
        </w:rPr>
      </w:pPr>
      <w:r w:rsidRPr="009E4E49">
        <w:rPr>
          <w:b/>
          <w:bCs/>
          <w:noProof/>
        </w:rPr>
        <w:t>Response Data</w:t>
      </w:r>
      <w:r w:rsidR="00A7061A" w:rsidRPr="009E4E49">
        <w:rPr>
          <w:b/>
          <w:bCs/>
          <w:noProof/>
        </w:rPr>
        <w:tab/>
      </w:r>
      <w:r w:rsidR="00A7061A" w:rsidRPr="009E4E49">
        <w:rPr>
          <w:b/>
          <w:bCs/>
          <w:noProof/>
        </w:rPr>
        <w:tab/>
      </w:r>
      <w:r w:rsidR="00A7061A" w:rsidRPr="009E4E49">
        <w:rPr>
          <w:b/>
          <w:bCs/>
          <w:noProof/>
        </w:rPr>
        <w:tab/>
      </w:r>
      <w:r w:rsidR="00A7061A" w:rsidRPr="009E4E49">
        <w:rPr>
          <w:b/>
          <w:bCs/>
          <w:noProof/>
        </w:rPr>
        <w:tab/>
      </w:r>
      <w:r w:rsidR="00A7061A" w:rsidRPr="009E4E49">
        <w:rPr>
          <w:b/>
          <w:bCs/>
          <w:noProof/>
        </w:rPr>
        <w:tab/>
        <w:t>FY 2023</w:t>
      </w:r>
      <w:r w:rsidR="00A7061A" w:rsidRPr="009E4E49">
        <w:rPr>
          <w:b/>
          <w:bCs/>
          <w:noProof/>
        </w:rPr>
        <w:tab/>
      </w:r>
      <w:r w:rsidR="00A7061A" w:rsidRPr="009E4E49">
        <w:rPr>
          <w:b/>
          <w:bCs/>
          <w:noProof/>
        </w:rPr>
        <w:tab/>
      </w:r>
      <w:r w:rsidR="00A7061A" w:rsidRPr="009E4E49">
        <w:rPr>
          <w:b/>
          <w:bCs/>
          <w:noProof/>
        </w:rPr>
        <w:tab/>
      </w:r>
      <w:r w:rsidR="00A7061A" w:rsidRPr="009E4E49">
        <w:rPr>
          <w:b/>
          <w:bCs/>
          <w:noProof/>
        </w:rPr>
        <w:tab/>
      </w:r>
      <w:r w:rsidR="009E4E49" w:rsidRPr="009E4E49">
        <w:rPr>
          <w:b/>
          <w:bCs/>
          <w:noProof/>
        </w:rPr>
        <w:t xml:space="preserve">       </w:t>
      </w:r>
      <w:r w:rsidR="00A7061A" w:rsidRPr="009E4E49">
        <w:rPr>
          <w:b/>
          <w:bCs/>
          <w:noProof/>
        </w:rPr>
        <w:t>FY 2022</w:t>
      </w:r>
    </w:p>
    <w:tbl>
      <w:tblPr>
        <w:tblStyle w:val="TableGrid"/>
        <w:tblW w:w="0" w:type="auto"/>
        <w:tblLook w:val="04A0" w:firstRow="1" w:lastRow="0" w:firstColumn="1" w:lastColumn="0" w:noHBand="0" w:noVBand="1"/>
      </w:tblPr>
      <w:tblGrid>
        <w:gridCol w:w="3116"/>
        <w:gridCol w:w="3117"/>
        <w:gridCol w:w="3117"/>
      </w:tblGrid>
      <w:tr w:rsidR="00BC1BBE" w14:paraId="71C79E9C" w14:textId="77777777" w:rsidTr="00BC1BBE">
        <w:tc>
          <w:tcPr>
            <w:tcW w:w="3116" w:type="dxa"/>
          </w:tcPr>
          <w:p w14:paraId="2EEFF161" w14:textId="727D011B" w:rsidR="00BC1BBE" w:rsidRDefault="001B1C88">
            <w:pPr>
              <w:rPr>
                <w:noProof/>
              </w:rPr>
            </w:pPr>
            <w:r>
              <w:rPr>
                <w:noProof/>
              </w:rPr>
              <w:t xml:space="preserve">Total </w:t>
            </w:r>
            <w:r w:rsidR="00A7061A">
              <w:rPr>
                <w:noProof/>
              </w:rPr>
              <w:t>U</w:t>
            </w:r>
            <w:r>
              <w:rPr>
                <w:noProof/>
              </w:rPr>
              <w:t xml:space="preserve">nduplicated </w:t>
            </w:r>
            <w:r w:rsidR="00A7061A">
              <w:rPr>
                <w:noProof/>
              </w:rPr>
              <w:t>I</w:t>
            </w:r>
            <w:r>
              <w:rPr>
                <w:noProof/>
              </w:rPr>
              <w:t xml:space="preserve">ndividuals </w:t>
            </w:r>
            <w:r w:rsidR="00A7061A">
              <w:rPr>
                <w:noProof/>
              </w:rPr>
              <w:t>A</w:t>
            </w:r>
            <w:r>
              <w:rPr>
                <w:noProof/>
              </w:rPr>
              <w:t xml:space="preserve">ssisted by SMCAA </w:t>
            </w:r>
          </w:p>
        </w:tc>
        <w:tc>
          <w:tcPr>
            <w:tcW w:w="3117" w:type="dxa"/>
          </w:tcPr>
          <w:p w14:paraId="460BDA20" w14:textId="0596F518" w:rsidR="00BC1BBE" w:rsidRPr="009E4E49" w:rsidRDefault="009E4E49">
            <w:pPr>
              <w:rPr>
                <w:b/>
                <w:bCs/>
                <w:noProof/>
              </w:rPr>
            </w:pPr>
            <w:r w:rsidRPr="009E4E49">
              <w:rPr>
                <w:b/>
                <w:bCs/>
                <w:noProof/>
              </w:rPr>
              <w:t xml:space="preserve">                    </w:t>
            </w:r>
            <w:r w:rsidR="005C11D1" w:rsidRPr="009E4E49">
              <w:rPr>
                <w:b/>
                <w:bCs/>
                <w:noProof/>
              </w:rPr>
              <w:t>3,0</w:t>
            </w:r>
            <w:r w:rsidR="006A0E73">
              <w:rPr>
                <w:b/>
                <w:bCs/>
                <w:noProof/>
              </w:rPr>
              <w:t>87</w:t>
            </w:r>
          </w:p>
        </w:tc>
        <w:tc>
          <w:tcPr>
            <w:tcW w:w="3117" w:type="dxa"/>
          </w:tcPr>
          <w:p w14:paraId="4FBBC6D4" w14:textId="736F4D06" w:rsidR="00BC1BBE" w:rsidRPr="009E4E49" w:rsidRDefault="009E4E49">
            <w:pPr>
              <w:rPr>
                <w:b/>
                <w:bCs/>
                <w:noProof/>
              </w:rPr>
            </w:pPr>
            <w:r w:rsidRPr="009E4E49">
              <w:rPr>
                <w:b/>
                <w:bCs/>
                <w:noProof/>
              </w:rPr>
              <w:t xml:space="preserve">                        </w:t>
            </w:r>
            <w:r w:rsidR="0003478C" w:rsidRPr="009E4E49">
              <w:rPr>
                <w:b/>
                <w:bCs/>
                <w:noProof/>
              </w:rPr>
              <w:t>7,621</w:t>
            </w:r>
          </w:p>
        </w:tc>
      </w:tr>
      <w:tr w:rsidR="00BC1BBE" w14:paraId="6FF836FB" w14:textId="77777777" w:rsidTr="00BC1BBE">
        <w:tc>
          <w:tcPr>
            <w:tcW w:w="3116" w:type="dxa"/>
          </w:tcPr>
          <w:p w14:paraId="75DECF32" w14:textId="77777777" w:rsidR="00BC1BBE" w:rsidRDefault="00A7061A">
            <w:pPr>
              <w:rPr>
                <w:noProof/>
              </w:rPr>
            </w:pPr>
            <w:r>
              <w:rPr>
                <w:noProof/>
              </w:rPr>
              <w:t>Total Respondents to Survey</w:t>
            </w:r>
          </w:p>
          <w:p w14:paraId="121CC095" w14:textId="29B5652E" w:rsidR="002E214B" w:rsidRDefault="002E214B">
            <w:pPr>
              <w:rPr>
                <w:noProof/>
              </w:rPr>
            </w:pPr>
          </w:p>
        </w:tc>
        <w:tc>
          <w:tcPr>
            <w:tcW w:w="3117" w:type="dxa"/>
          </w:tcPr>
          <w:p w14:paraId="7414DBFB" w14:textId="5B6FE944" w:rsidR="00BC1BBE" w:rsidRDefault="009E4E49">
            <w:pPr>
              <w:rPr>
                <w:noProof/>
              </w:rPr>
            </w:pPr>
            <w:r>
              <w:rPr>
                <w:noProof/>
              </w:rPr>
              <w:t xml:space="preserve">    </w:t>
            </w:r>
            <w:r w:rsidR="005C11D1">
              <w:rPr>
                <w:noProof/>
              </w:rPr>
              <w:t>156</w:t>
            </w:r>
            <w:r>
              <w:rPr>
                <w:noProof/>
              </w:rPr>
              <w:t xml:space="preserve">    </w:t>
            </w:r>
            <w:r w:rsidR="001737F2">
              <w:rPr>
                <w:noProof/>
              </w:rPr>
              <w:t xml:space="preserve">     </w:t>
            </w:r>
            <w:r>
              <w:rPr>
                <w:noProof/>
              </w:rPr>
              <w:t xml:space="preserve">             </w:t>
            </w:r>
            <w:r w:rsidR="00D1738E">
              <w:rPr>
                <w:noProof/>
              </w:rPr>
              <w:t xml:space="preserve">   </w:t>
            </w:r>
            <w:r w:rsidR="001737F2">
              <w:rPr>
                <w:noProof/>
              </w:rPr>
              <w:t>5%</w:t>
            </w:r>
          </w:p>
        </w:tc>
        <w:tc>
          <w:tcPr>
            <w:tcW w:w="3117" w:type="dxa"/>
          </w:tcPr>
          <w:p w14:paraId="5F4833CD" w14:textId="5A9E9883" w:rsidR="00BC1BBE" w:rsidRDefault="009E4E49">
            <w:pPr>
              <w:rPr>
                <w:noProof/>
              </w:rPr>
            </w:pPr>
            <w:r>
              <w:rPr>
                <w:noProof/>
              </w:rPr>
              <w:t xml:space="preserve">   </w:t>
            </w:r>
            <w:r w:rsidR="0003478C">
              <w:rPr>
                <w:noProof/>
              </w:rPr>
              <w:t xml:space="preserve">448     </w:t>
            </w:r>
            <w:r>
              <w:rPr>
                <w:noProof/>
              </w:rPr>
              <w:t xml:space="preserve">                       </w:t>
            </w:r>
            <w:r w:rsidR="007F02BD">
              <w:rPr>
                <w:noProof/>
              </w:rPr>
              <w:t>6</w:t>
            </w:r>
            <w:r w:rsidR="0003478C">
              <w:rPr>
                <w:noProof/>
              </w:rPr>
              <w:t>%</w:t>
            </w:r>
          </w:p>
        </w:tc>
      </w:tr>
      <w:tr w:rsidR="00BC1BBE" w14:paraId="4B6A2310" w14:textId="77777777" w:rsidTr="00BC1BBE">
        <w:tc>
          <w:tcPr>
            <w:tcW w:w="3116" w:type="dxa"/>
          </w:tcPr>
          <w:p w14:paraId="20623086" w14:textId="12D733CA" w:rsidR="00BC1BBE" w:rsidRDefault="002E214B">
            <w:pPr>
              <w:rPr>
                <w:noProof/>
              </w:rPr>
            </w:pPr>
            <w:r>
              <w:rPr>
                <w:noProof/>
              </w:rPr>
              <w:t>Total Respondents to Online Survey</w:t>
            </w:r>
          </w:p>
        </w:tc>
        <w:tc>
          <w:tcPr>
            <w:tcW w:w="3117" w:type="dxa"/>
          </w:tcPr>
          <w:p w14:paraId="71EC4989" w14:textId="6F54BB9A" w:rsidR="00BC1BBE" w:rsidRDefault="00D1738E">
            <w:pPr>
              <w:rPr>
                <w:noProof/>
              </w:rPr>
            </w:pPr>
            <w:r>
              <w:rPr>
                <w:noProof/>
              </w:rPr>
              <w:t xml:space="preserve">    </w:t>
            </w:r>
            <w:r w:rsidR="001737F2">
              <w:rPr>
                <w:noProof/>
              </w:rPr>
              <w:t xml:space="preserve">5     </w:t>
            </w:r>
            <w:r>
              <w:rPr>
                <w:noProof/>
              </w:rPr>
              <w:t xml:space="preserve">                        </w:t>
            </w:r>
            <w:r w:rsidR="001737F2">
              <w:rPr>
                <w:noProof/>
              </w:rPr>
              <w:t>3%</w:t>
            </w:r>
          </w:p>
        </w:tc>
        <w:tc>
          <w:tcPr>
            <w:tcW w:w="3117" w:type="dxa"/>
          </w:tcPr>
          <w:p w14:paraId="10CE0A34" w14:textId="71325A8B" w:rsidR="00BC1BBE" w:rsidRDefault="009E4E49">
            <w:pPr>
              <w:rPr>
                <w:noProof/>
              </w:rPr>
            </w:pPr>
            <w:r>
              <w:rPr>
                <w:noProof/>
              </w:rPr>
              <w:t xml:space="preserve">   </w:t>
            </w:r>
            <w:r w:rsidR="0003478C">
              <w:rPr>
                <w:noProof/>
              </w:rPr>
              <w:t xml:space="preserve">36     </w:t>
            </w:r>
            <w:r>
              <w:rPr>
                <w:noProof/>
              </w:rPr>
              <w:t xml:space="preserve">                         </w:t>
            </w:r>
            <w:r w:rsidR="007F02BD">
              <w:rPr>
                <w:noProof/>
              </w:rPr>
              <w:t>8</w:t>
            </w:r>
            <w:r w:rsidR="0003478C">
              <w:rPr>
                <w:noProof/>
              </w:rPr>
              <w:t>%</w:t>
            </w:r>
          </w:p>
        </w:tc>
      </w:tr>
      <w:tr w:rsidR="00BC1BBE" w14:paraId="5E5CD6B9" w14:textId="77777777" w:rsidTr="00BC1BBE">
        <w:tc>
          <w:tcPr>
            <w:tcW w:w="3116" w:type="dxa"/>
          </w:tcPr>
          <w:p w14:paraId="41D0032A" w14:textId="7B44A584" w:rsidR="00BC1BBE" w:rsidRDefault="002E214B">
            <w:pPr>
              <w:rPr>
                <w:noProof/>
              </w:rPr>
            </w:pPr>
            <w:r>
              <w:rPr>
                <w:noProof/>
              </w:rPr>
              <w:t>Total Respondents to Hard Copy Survey</w:t>
            </w:r>
          </w:p>
        </w:tc>
        <w:tc>
          <w:tcPr>
            <w:tcW w:w="3117" w:type="dxa"/>
          </w:tcPr>
          <w:p w14:paraId="641640BE" w14:textId="1B653C53" w:rsidR="00BC1BBE" w:rsidRDefault="00D1738E">
            <w:pPr>
              <w:rPr>
                <w:noProof/>
              </w:rPr>
            </w:pPr>
            <w:r>
              <w:rPr>
                <w:noProof/>
              </w:rPr>
              <w:t xml:space="preserve">    </w:t>
            </w:r>
            <w:r w:rsidR="007F02BD">
              <w:rPr>
                <w:noProof/>
              </w:rPr>
              <w:t xml:space="preserve">151     </w:t>
            </w:r>
            <w:r>
              <w:rPr>
                <w:noProof/>
              </w:rPr>
              <w:t xml:space="preserve">                    </w:t>
            </w:r>
            <w:r w:rsidR="007F02BD">
              <w:rPr>
                <w:noProof/>
              </w:rPr>
              <w:t>97%</w:t>
            </w:r>
          </w:p>
        </w:tc>
        <w:tc>
          <w:tcPr>
            <w:tcW w:w="3117" w:type="dxa"/>
          </w:tcPr>
          <w:p w14:paraId="44BE94BC" w14:textId="4B247059" w:rsidR="00BC1BBE" w:rsidRDefault="009E4E49">
            <w:pPr>
              <w:rPr>
                <w:noProof/>
              </w:rPr>
            </w:pPr>
            <w:r>
              <w:rPr>
                <w:noProof/>
              </w:rPr>
              <w:t xml:space="preserve">   </w:t>
            </w:r>
            <w:r w:rsidR="005C11D1">
              <w:rPr>
                <w:noProof/>
              </w:rPr>
              <w:t xml:space="preserve">409    </w:t>
            </w:r>
            <w:r>
              <w:rPr>
                <w:noProof/>
              </w:rPr>
              <w:t xml:space="preserve">                      </w:t>
            </w:r>
            <w:r w:rsidR="005C11D1">
              <w:rPr>
                <w:noProof/>
              </w:rPr>
              <w:t xml:space="preserve"> </w:t>
            </w:r>
            <w:r>
              <w:rPr>
                <w:noProof/>
              </w:rPr>
              <w:t xml:space="preserve"> </w:t>
            </w:r>
            <w:r w:rsidR="005C11D1">
              <w:rPr>
                <w:noProof/>
              </w:rPr>
              <w:t>9</w:t>
            </w:r>
            <w:r w:rsidR="007F02BD">
              <w:rPr>
                <w:noProof/>
              </w:rPr>
              <w:t>2</w:t>
            </w:r>
            <w:r w:rsidR="005C11D1">
              <w:rPr>
                <w:noProof/>
              </w:rPr>
              <w:t>%</w:t>
            </w:r>
          </w:p>
        </w:tc>
      </w:tr>
      <w:tr w:rsidR="00BC1BBE" w14:paraId="76D6C043" w14:textId="77777777" w:rsidTr="00BC1BBE">
        <w:tc>
          <w:tcPr>
            <w:tcW w:w="3116" w:type="dxa"/>
          </w:tcPr>
          <w:p w14:paraId="2AA65CA9" w14:textId="3796412F" w:rsidR="00BC1BBE" w:rsidRDefault="002E214B">
            <w:pPr>
              <w:rPr>
                <w:noProof/>
              </w:rPr>
            </w:pPr>
            <w:r>
              <w:rPr>
                <w:noProof/>
              </w:rPr>
              <w:t xml:space="preserve">Total of Respondents Who Provided Comments </w:t>
            </w:r>
          </w:p>
        </w:tc>
        <w:tc>
          <w:tcPr>
            <w:tcW w:w="3117" w:type="dxa"/>
          </w:tcPr>
          <w:p w14:paraId="4B3D96FC" w14:textId="1F27F85E" w:rsidR="00BC1BBE" w:rsidRDefault="00D1738E">
            <w:pPr>
              <w:rPr>
                <w:noProof/>
              </w:rPr>
            </w:pPr>
            <w:r>
              <w:rPr>
                <w:noProof/>
              </w:rPr>
              <w:t xml:space="preserve">    </w:t>
            </w:r>
            <w:r w:rsidR="00040A23">
              <w:rPr>
                <w:noProof/>
              </w:rPr>
              <w:t xml:space="preserve">65     </w:t>
            </w:r>
            <w:r>
              <w:rPr>
                <w:noProof/>
              </w:rPr>
              <w:t xml:space="preserve">                      </w:t>
            </w:r>
            <w:r w:rsidR="00040A23">
              <w:rPr>
                <w:noProof/>
              </w:rPr>
              <w:t>42%</w:t>
            </w:r>
          </w:p>
        </w:tc>
        <w:tc>
          <w:tcPr>
            <w:tcW w:w="3117" w:type="dxa"/>
          </w:tcPr>
          <w:p w14:paraId="14D6285A" w14:textId="33C87E15" w:rsidR="00BC1BBE" w:rsidRDefault="009E4E49">
            <w:pPr>
              <w:rPr>
                <w:noProof/>
              </w:rPr>
            </w:pPr>
            <w:r>
              <w:rPr>
                <w:noProof/>
              </w:rPr>
              <w:t xml:space="preserve">   </w:t>
            </w:r>
            <w:r w:rsidR="005C11D1">
              <w:rPr>
                <w:noProof/>
              </w:rPr>
              <w:t xml:space="preserve">278     </w:t>
            </w:r>
            <w:r>
              <w:rPr>
                <w:noProof/>
              </w:rPr>
              <w:t xml:space="preserve">                       </w:t>
            </w:r>
            <w:r w:rsidR="005C11D1">
              <w:rPr>
                <w:noProof/>
              </w:rPr>
              <w:t>6</w:t>
            </w:r>
            <w:r w:rsidR="007F02BD">
              <w:rPr>
                <w:noProof/>
              </w:rPr>
              <w:t>3</w:t>
            </w:r>
            <w:r w:rsidR="005C11D1">
              <w:rPr>
                <w:noProof/>
              </w:rPr>
              <w:t>%</w:t>
            </w:r>
          </w:p>
        </w:tc>
      </w:tr>
    </w:tbl>
    <w:p w14:paraId="50FD7F97" w14:textId="77777777" w:rsidR="003B1D57" w:rsidRDefault="003B1D57">
      <w:pPr>
        <w:rPr>
          <w:noProof/>
        </w:rPr>
      </w:pPr>
    </w:p>
    <w:p w14:paraId="46807740" w14:textId="165B8B58" w:rsidR="003B1D57" w:rsidRDefault="003B1D57">
      <w:pPr>
        <w:rPr>
          <w:noProof/>
        </w:rPr>
      </w:pPr>
      <w:r>
        <w:rPr>
          <w:noProof/>
        </w:rPr>
        <w:t>Take-Aways:</w:t>
      </w:r>
    </w:p>
    <w:p w14:paraId="3205A301" w14:textId="2380E492" w:rsidR="003B1D57" w:rsidRPr="001211BD" w:rsidRDefault="000766D3" w:rsidP="003B1D57">
      <w:pPr>
        <w:pStyle w:val="ListParagraph"/>
        <w:numPr>
          <w:ilvl w:val="0"/>
          <w:numId w:val="4"/>
        </w:numPr>
        <w:rPr>
          <w:noProof/>
          <w:color w:val="4472C4" w:themeColor="accent1"/>
        </w:rPr>
      </w:pPr>
      <w:r w:rsidRPr="001211BD">
        <w:rPr>
          <w:noProof/>
        </w:rPr>
        <w:t>While the COVID-19 pandemic was winding down in 2022, FY22 data still reflects the greater number of households in need</w:t>
      </w:r>
      <w:r w:rsidR="003B1D57" w:rsidRPr="001211BD">
        <w:rPr>
          <w:noProof/>
        </w:rPr>
        <w:t>. CERA funding allowed SMCAA to service this higher-than-usual influx of clients, but</w:t>
      </w:r>
      <w:r w:rsidR="001211BD">
        <w:rPr>
          <w:noProof/>
        </w:rPr>
        <w:t xml:space="preserve"> CERA, as well as other COVID funding sources, w</w:t>
      </w:r>
      <w:r w:rsidR="00627ECC">
        <w:rPr>
          <w:noProof/>
        </w:rPr>
        <w:t>as</w:t>
      </w:r>
      <w:r w:rsidR="003B1D57" w:rsidRPr="001211BD">
        <w:rPr>
          <w:noProof/>
        </w:rPr>
        <w:t xml:space="preserve"> discontinued in 2023.</w:t>
      </w:r>
    </w:p>
    <w:p w14:paraId="62E73F2E" w14:textId="77777777" w:rsidR="003B1D57" w:rsidRDefault="00F077EA" w:rsidP="003B1D57">
      <w:pPr>
        <w:pStyle w:val="ListParagraph"/>
        <w:numPr>
          <w:ilvl w:val="0"/>
          <w:numId w:val="4"/>
        </w:numPr>
        <w:rPr>
          <w:noProof/>
        </w:rPr>
      </w:pPr>
      <w:r>
        <w:rPr>
          <w:noProof/>
        </w:rPr>
        <w:t xml:space="preserve">While the number of unduplicated individuals </w:t>
      </w:r>
      <w:r w:rsidR="002B780E">
        <w:rPr>
          <w:noProof/>
        </w:rPr>
        <w:t xml:space="preserve">services in FY22 compared to FY23 was substantially larger, the percentages of survey responses was comparable. </w:t>
      </w:r>
    </w:p>
    <w:p w14:paraId="1149072E" w14:textId="1D9CDAAD" w:rsidR="00F36A12" w:rsidRPr="00627ECC" w:rsidRDefault="00F077EA" w:rsidP="003B1D57">
      <w:pPr>
        <w:pStyle w:val="ListParagraph"/>
        <w:numPr>
          <w:ilvl w:val="0"/>
          <w:numId w:val="4"/>
        </w:numPr>
        <w:rPr>
          <w:noProof/>
        </w:rPr>
      </w:pPr>
      <w:r w:rsidRPr="00627ECC">
        <w:rPr>
          <w:noProof/>
        </w:rPr>
        <w:t xml:space="preserve">In-Person appointments </w:t>
      </w:r>
      <w:r w:rsidR="002B780E" w:rsidRPr="00627ECC">
        <w:rPr>
          <w:noProof/>
        </w:rPr>
        <w:t xml:space="preserve">resumed in </w:t>
      </w:r>
      <w:r w:rsidR="002E0635" w:rsidRPr="00627ECC">
        <w:rPr>
          <w:noProof/>
        </w:rPr>
        <w:t>FY</w:t>
      </w:r>
      <w:r w:rsidR="002B780E" w:rsidRPr="00627ECC">
        <w:rPr>
          <w:noProof/>
        </w:rPr>
        <w:t>23</w:t>
      </w:r>
      <w:r w:rsidRPr="00627ECC">
        <w:rPr>
          <w:noProof/>
        </w:rPr>
        <w:t xml:space="preserve">, possibly resulting in </w:t>
      </w:r>
      <w:r w:rsidR="002B780E" w:rsidRPr="00627ECC">
        <w:rPr>
          <w:noProof/>
        </w:rPr>
        <w:t xml:space="preserve">the </w:t>
      </w:r>
      <w:r w:rsidR="002E0635" w:rsidRPr="00627ECC">
        <w:rPr>
          <w:noProof/>
        </w:rPr>
        <w:t>much larger return of hardcopy surveys as compared to FY22.</w:t>
      </w:r>
      <w:r w:rsidR="00627ECC">
        <w:rPr>
          <w:noProof/>
        </w:rPr>
        <w:t xml:space="preserve"> However, the survey remained online and continued to be emailed to client</w:t>
      </w:r>
      <w:r w:rsidR="00D751D1">
        <w:rPr>
          <w:noProof/>
        </w:rPr>
        <w:t>s</w:t>
      </w:r>
      <w:r w:rsidR="00627ECC">
        <w:rPr>
          <w:noProof/>
        </w:rPr>
        <w:t>.</w:t>
      </w:r>
      <w:r w:rsidR="00D751D1">
        <w:rPr>
          <w:noProof/>
        </w:rPr>
        <w:t xml:space="preserve"> Hard copies also continued to be mailed to clients. </w:t>
      </w:r>
    </w:p>
    <w:p w14:paraId="0DFEE8BA" w14:textId="77777777" w:rsidR="00F36A12" w:rsidRDefault="00F36A12">
      <w:pPr>
        <w:rPr>
          <w:noProof/>
        </w:rPr>
      </w:pPr>
    </w:p>
    <w:p w14:paraId="067F6363" w14:textId="37E2B617" w:rsidR="009869CA" w:rsidRPr="002C4044" w:rsidRDefault="00F51AED" w:rsidP="002C4044">
      <w:pPr>
        <w:shd w:val="clear" w:color="auto" w:fill="4472C4" w:themeFill="accent1"/>
        <w:rPr>
          <w:b/>
          <w:noProof/>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SURVEY QUESTIONS</w:t>
      </w:r>
    </w:p>
    <w:p w14:paraId="5FD18582" w14:textId="77777777" w:rsidR="009F5CAB" w:rsidRDefault="009F5CAB">
      <w:pPr>
        <w:rPr>
          <w:noProof/>
        </w:rPr>
      </w:pPr>
    </w:p>
    <w:p w14:paraId="11567979" w14:textId="082C4506" w:rsidR="009F5CAB" w:rsidRPr="007440FB" w:rsidRDefault="007440FB" w:rsidP="007440FB">
      <w:pPr>
        <w:rPr>
          <w:noProof/>
        </w:rPr>
      </w:pPr>
      <w:r>
        <w:rPr>
          <w:noProof/>
        </w:rPr>
        <w:t>W</w:t>
      </w:r>
      <w:r w:rsidR="00751DEC">
        <w:rPr>
          <w:noProof/>
        </w:rPr>
        <w:t>hile responses were requested for all survey questions</w:t>
      </w:r>
      <w:r w:rsidR="00165E1B">
        <w:rPr>
          <w:noProof/>
        </w:rPr>
        <w:t xml:space="preserve">, </w:t>
      </w:r>
      <w:r w:rsidR="00751DEC">
        <w:rPr>
          <w:noProof/>
        </w:rPr>
        <w:t xml:space="preserve">hardcopy forms </w:t>
      </w:r>
      <w:r w:rsidR="00AA13ED">
        <w:rPr>
          <w:noProof/>
        </w:rPr>
        <w:t>allow</w:t>
      </w:r>
      <w:r w:rsidR="00165E1B">
        <w:rPr>
          <w:noProof/>
        </w:rPr>
        <w:t xml:space="preserve"> the</w:t>
      </w:r>
      <w:r w:rsidR="00AA13ED">
        <w:rPr>
          <w:noProof/>
        </w:rPr>
        <w:t xml:space="preserve"> clients to leave areas of the survey unanswered. </w:t>
      </w:r>
      <w:r w:rsidR="00101F43">
        <w:rPr>
          <w:noProof/>
        </w:rPr>
        <w:t>Unanswered responses were not factored into the</w:t>
      </w:r>
      <w:r w:rsidR="00851B57">
        <w:rPr>
          <w:noProof/>
        </w:rPr>
        <w:t xml:space="preserve"> following</w:t>
      </w:r>
      <w:r w:rsidR="00101F43">
        <w:rPr>
          <w:noProof/>
        </w:rPr>
        <w:t xml:space="preserve"> graphs. </w:t>
      </w:r>
      <w:r w:rsidR="008F2688">
        <w:rPr>
          <w:noProof/>
        </w:rPr>
        <w:t xml:space="preserve">Survey questions for FY22 and FY 23 remained the same. </w:t>
      </w:r>
    </w:p>
    <w:p w14:paraId="531269BB" w14:textId="77777777" w:rsidR="00627ECC" w:rsidRDefault="00627ECC"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8419711"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901EF1"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F0DF13"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B4A410"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AFB447"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9334E2"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6B084F"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471F7F"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F6EC6B"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7B5A72D"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044445"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54E970" w14:textId="77777777" w:rsidR="00886496" w:rsidRDefault="00886496"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EFF6DC" w14:textId="43BBE535" w:rsidR="00F51AED" w:rsidRPr="00900958" w:rsidRDefault="00AA13ED" w:rsidP="007440FB">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0958">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COUNTY DO YOU LIVE IN</w:t>
      </w:r>
      <w:r w:rsidR="00DF1432" w:rsidRPr="00900958">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A664A87" w14:textId="1DB211B2" w:rsidR="009F5CAB" w:rsidRDefault="00886496" w:rsidP="009F5CAB">
      <w:pPr>
        <w:rPr>
          <w:noProof/>
        </w:rPr>
      </w:pPr>
      <w:r>
        <w:rPr>
          <w:noProof/>
          <w14:ligatures w14:val="standardContextual"/>
        </w:rPr>
        <w:drawing>
          <wp:anchor distT="0" distB="0" distL="114300" distR="114300" simplePos="0" relativeHeight="251707392" behindDoc="0" locked="0" layoutInCell="1" allowOverlap="1" wp14:anchorId="6DC44BA7" wp14:editId="5FEC4096">
            <wp:simplePos x="0" y="0"/>
            <wp:positionH relativeFrom="margin">
              <wp:align>center</wp:align>
            </wp:positionH>
            <wp:positionV relativeFrom="paragraph">
              <wp:posOffset>76835</wp:posOffset>
            </wp:positionV>
            <wp:extent cx="4853305" cy="2312035"/>
            <wp:effectExtent l="0" t="0" r="4445" b="12065"/>
            <wp:wrapSquare wrapText="bothSides"/>
            <wp:docPr id="6092876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4EB24F75" w14:textId="4E846D23" w:rsidR="009F5CAB" w:rsidRDefault="009F5CAB" w:rsidP="009F5CAB">
      <w:pPr>
        <w:rPr>
          <w:noProof/>
        </w:rPr>
      </w:pPr>
    </w:p>
    <w:p w14:paraId="592A89CF" w14:textId="2899572D" w:rsidR="009F5CAB" w:rsidRDefault="009F5CAB" w:rsidP="009F5CAB">
      <w:pPr>
        <w:rPr>
          <w:noProof/>
        </w:rPr>
      </w:pPr>
    </w:p>
    <w:p w14:paraId="30E4E94F" w14:textId="28B8B5E0" w:rsidR="00DF1432" w:rsidRDefault="00D15041" w:rsidP="00D15041">
      <w:pPr>
        <w:ind w:firstLine="720"/>
        <w:rPr>
          <w:noProof/>
        </w:rPr>
      </w:pPr>
      <w:r>
        <w:rPr>
          <w:noProof/>
        </w:rPr>
        <w:t xml:space="preserve">FY 22 </w:t>
      </w:r>
    </w:p>
    <w:p w14:paraId="7B93054B" w14:textId="04F25898" w:rsidR="00D15041" w:rsidRDefault="00D15041" w:rsidP="005F4283">
      <w:pPr>
        <w:pStyle w:val="ListParagraph"/>
        <w:numPr>
          <w:ilvl w:val="0"/>
          <w:numId w:val="5"/>
        </w:numPr>
        <w:rPr>
          <w:noProof/>
        </w:rPr>
      </w:pPr>
      <w:r>
        <w:rPr>
          <w:noProof/>
        </w:rPr>
        <w:t>Berrien</w:t>
      </w:r>
      <w:r w:rsidR="005F4283">
        <w:rPr>
          <w:noProof/>
        </w:rPr>
        <w:t xml:space="preserve"> –</w:t>
      </w:r>
      <w:r w:rsidR="00022B30">
        <w:rPr>
          <w:noProof/>
        </w:rPr>
        <w:t xml:space="preserve"> 74%</w:t>
      </w:r>
    </w:p>
    <w:p w14:paraId="5D52D738" w14:textId="60D4C50F" w:rsidR="005F4283" w:rsidRDefault="005F4283" w:rsidP="005F4283">
      <w:pPr>
        <w:pStyle w:val="ListParagraph"/>
        <w:numPr>
          <w:ilvl w:val="0"/>
          <w:numId w:val="5"/>
        </w:numPr>
        <w:rPr>
          <w:noProof/>
        </w:rPr>
      </w:pPr>
      <w:r>
        <w:rPr>
          <w:noProof/>
        </w:rPr>
        <w:t xml:space="preserve">Cass </w:t>
      </w:r>
      <w:r w:rsidR="00022B30">
        <w:rPr>
          <w:noProof/>
        </w:rPr>
        <w:t>–</w:t>
      </w:r>
      <w:r>
        <w:rPr>
          <w:noProof/>
        </w:rPr>
        <w:t xml:space="preserve"> </w:t>
      </w:r>
      <w:r w:rsidR="00022B30">
        <w:rPr>
          <w:noProof/>
        </w:rPr>
        <w:t>8%</w:t>
      </w:r>
    </w:p>
    <w:p w14:paraId="621764C5" w14:textId="11DB3F33" w:rsidR="005F4283" w:rsidRDefault="005F4283" w:rsidP="005F4283">
      <w:pPr>
        <w:pStyle w:val="ListParagraph"/>
        <w:numPr>
          <w:ilvl w:val="0"/>
          <w:numId w:val="5"/>
        </w:numPr>
        <w:rPr>
          <w:noProof/>
        </w:rPr>
      </w:pPr>
      <w:r>
        <w:rPr>
          <w:noProof/>
        </w:rPr>
        <w:t xml:space="preserve">Van Buren </w:t>
      </w:r>
      <w:r w:rsidR="00022B30">
        <w:rPr>
          <w:noProof/>
        </w:rPr>
        <w:t>– 18%</w:t>
      </w:r>
    </w:p>
    <w:p w14:paraId="7C6746C5" w14:textId="1FA97D05" w:rsidR="00435BB1" w:rsidRDefault="00435BB1" w:rsidP="005F4283">
      <w:pPr>
        <w:pStyle w:val="ListParagraph"/>
        <w:numPr>
          <w:ilvl w:val="0"/>
          <w:numId w:val="5"/>
        </w:numPr>
        <w:rPr>
          <w:noProof/>
        </w:rPr>
      </w:pPr>
      <w:r>
        <w:rPr>
          <w:noProof/>
        </w:rPr>
        <w:t>6 individuals chose not to respond</w:t>
      </w:r>
    </w:p>
    <w:p w14:paraId="7F6CAD6F" w14:textId="6FE3CD59" w:rsidR="00022B30" w:rsidRDefault="00022B30" w:rsidP="00022B30">
      <w:pPr>
        <w:ind w:left="720"/>
        <w:rPr>
          <w:noProof/>
        </w:rPr>
      </w:pPr>
      <w:r>
        <w:rPr>
          <w:noProof/>
        </w:rPr>
        <w:t>FY 23</w:t>
      </w:r>
    </w:p>
    <w:p w14:paraId="572D1235" w14:textId="5ADF4DF0" w:rsidR="00022B30" w:rsidRDefault="00022B30" w:rsidP="00022B30">
      <w:pPr>
        <w:pStyle w:val="ListParagraph"/>
        <w:numPr>
          <w:ilvl w:val="0"/>
          <w:numId w:val="6"/>
        </w:numPr>
        <w:rPr>
          <w:noProof/>
        </w:rPr>
      </w:pPr>
      <w:r>
        <w:rPr>
          <w:noProof/>
        </w:rPr>
        <w:t>Berrien –</w:t>
      </w:r>
      <w:r w:rsidR="00435BB1">
        <w:rPr>
          <w:noProof/>
        </w:rPr>
        <w:t xml:space="preserve"> </w:t>
      </w:r>
      <w:r w:rsidR="00881E4E">
        <w:rPr>
          <w:noProof/>
        </w:rPr>
        <w:t>55%</w:t>
      </w:r>
    </w:p>
    <w:p w14:paraId="735EC83D" w14:textId="0FF9771A" w:rsidR="00022B30" w:rsidRDefault="00022B30" w:rsidP="00022B30">
      <w:pPr>
        <w:pStyle w:val="ListParagraph"/>
        <w:numPr>
          <w:ilvl w:val="0"/>
          <w:numId w:val="6"/>
        </w:numPr>
        <w:rPr>
          <w:noProof/>
        </w:rPr>
      </w:pPr>
      <w:r>
        <w:rPr>
          <w:noProof/>
        </w:rPr>
        <w:t>Cass –</w:t>
      </w:r>
      <w:r w:rsidR="00881E4E">
        <w:rPr>
          <w:noProof/>
        </w:rPr>
        <w:t xml:space="preserve"> 14% </w:t>
      </w:r>
    </w:p>
    <w:p w14:paraId="6A9594A0" w14:textId="462A6727" w:rsidR="00022B30" w:rsidRDefault="00022B30" w:rsidP="00022B30">
      <w:pPr>
        <w:pStyle w:val="ListParagraph"/>
        <w:numPr>
          <w:ilvl w:val="0"/>
          <w:numId w:val="6"/>
        </w:numPr>
        <w:rPr>
          <w:noProof/>
        </w:rPr>
      </w:pPr>
      <w:r>
        <w:rPr>
          <w:noProof/>
        </w:rPr>
        <w:t>Van Buren –</w:t>
      </w:r>
      <w:r w:rsidR="00881E4E">
        <w:rPr>
          <w:noProof/>
        </w:rPr>
        <w:t xml:space="preserve"> 31%</w:t>
      </w:r>
    </w:p>
    <w:p w14:paraId="3062E428" w14:textId="18A0CABC" w:rsidR="00435BB1" w:rsidRDefault="00435BB1" w:rsidP="00022B30">
      <w:pPr>
        <w:pStyle w:val="ListParagraph"/>
        <w:numPr>
          <w:ilvl w:val="0"/>
          <w:numId w:val="6"/>
        </w:numPr>
        <w:rPr>
          <w:noProof/>
        </w:rPr>
      </w:pPr>
      <w:r>
        <w:rPr>
          <w:noProof/>
        </w:rPr>
        <w:t>4 individuals chose not to respond</w:t>
      </w:r>
    </w:p>
    <w:p w14:paraId="254E7DDB" w14:textId="77777777" w:rsidR="00022B30" w:rsidRDefault="00022B30" w:rsidP="00022B30">
      <w:pPr>
        <w:pStyle w:val="ListParagraph"/>
        <w:ind w:left="1440"/>
        <w:rPr>
          <w:noProof/>
        </w:rPr>
      </w:pPr>
    </w:p>
    <w:p w14:paraId="2BA14F9B" w14:textId="0C683FC4" w:rsidR="00C4379C" w:rsidRPr="00900958" w:rsidRDefault="00C57EC1" w:rsidP="00900958">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0958">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HAVE YOU USED SMCAA SERVICES OR PROGRAMS IN THE PAST</w:t>
      </w:r>
    </w:p>
    <w:p w14:paraId="24A25598" w14:textId="401F538F" w:rsidR="00C57EC1" w:rsidRDefault="00900958">
      <w:pPr>
        <w:rPr>
          <w:noProof/>
        </w:rPr>
      </w:pPr>
      <w:r>
        <w:rPr>
          <w:noProof/>
          <w14:ligatures w14:val="standardContextual"/>
        </w:rPr>
        <w:drawing>
          <wp:anchor distT="0" distB="0" distL="114300" distR="114300" simplePos="0" relativeHeight="251708416" behindDoc="0" locked="0" layoutInCell="1" allowOverlap="1" wp14:anchorId="0E48E95D" wp14:editId="7BECE090">
            <wp:simplePos x="0" y="0"/>
            <wp:positionH relativeFrom="column">
              <wp:posOffset>668167</wp:posOffset>
            </wp:positionH>
            <wp:positionV relativeFrom="paragraph">
              <wp:posOffset>12114</wp:posOffset>
            </wp:positionV>
            <wp:extent cx="4466492" cy="2189285"/>
            <wp:effectExtent l="0" t="0" r="10795" b="1905"/>
            <wp:wrapSquare wrapText="bothSides"/>
            <wp:docPr id="10632534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44F1AF97" w14:textId="7CF43843" w:rsidR="00C57EC1" w:rsidRDefault="00C57EC1">
      <w:pPr>
        <w:rPr>
          <w:noProof/>
        </w:rPr>
      </w:pPr>
    </w:p>
    <w:p w14:paraId="6FEEB0BF" w14:textId="77777777" w:rsidR="00900958" w:rsidRDefault="00900958">
      <w:pPr>
        <w:rPr>
          <w:noProof/>
        </w:rPr>
      </w:pPr>
    </w:p>
    <w:p w14:paraId="0F1DBDA9" w14:textId="77777777" w:rsidR="00900958" w:rsidRDefault="00900958">
      <w:pPr>
        <w:rPr>
          <w:noProof/>
        </w:rPr>
      </w:pPr>
    </w:p>
    <w:p w14:paraId="73A225B9" w14:textId="77777777" w:rsidR="00900958" w:rsidRDefault="00900958">
      <w:pPr>
        <w:rPr>
          <w:noProof/>
        </w:rPr>
      </w:pPr>
    </w:p>
    <w:p w14:paraId="1D5D19A6" w14:textId="77777777" w:rsidR="00900958" w:rsidRDefault="00900958">
      <w:pPr>
        <w:rPr>
          <w:noProof/>
        </w:rPr>
      </w:pPr>
    </w:p>
    <w:p w14:paraId="7F1F1092" w14:textId="77777777" w:rsidR="00900958" w:rsidRDefault="00900958">
      <w:pPr>
        <w:rPr>
          <w:noProof/>
        </w:rPr>
      </w:pPr>
    </w:p>
    <w:p w14:paraId="52138C94" w14:textId="77777777" w:rsidR="00900958" w:rsidRDefault="00900958">
      <w:pPr>
        <w:rPr>
          <w:noProof/>
        </w:rPr>
      </w:pPr>
    </w:p>
    <w:p w14:paraId="7DD32085" w14:textId="77777777" w:rsidR="00900958" w:rsidRDefault="00900958">
      <w:pPr>
        <w:rPr>
          <w:noProof/>
        </w:rPr>
      </w:pPr>
    </w:p>
    <w:p w14:paraId="6281B97A" w14:textId="77777777" w:rsidR="00900958" w:rsidRDefault="00900958">
      <w:pPr>
        <w:rPr>
          <w:noProof/>
        </w:rPr>
      </w:pPr>
    </w:p>
    <w:p w14:paraId="3DF976B9" w14:textId="77777777" w:rsidR="00900958" w:rsidRDefault="00900958">
      <w:pPr>
        <w:rPr>
          <w:noProof/>
        </w:rPr>
      </w:pPr>
    </w:p>
    <w:p w14:paraId="5E3D83A8" w14:textId="77777777" w:rsidR="00900958" w:rsidRDefault="00900958">
      <w:pPr>
        <w:rPr>
          <w:noProof/>
        </w:rPr>
      </w:pPr>
    </w:p>
    <w:p w14:paraId="761532A6" w14:textId="1472C06A" w:rsidR="00900958" w:rsidRPr="006D5248" w:rsidRDefault="005852A2" w:rsidP="006D5248">
      <w:pPr>
        <w:jc w:val="center"/>
        <w:rPr>
          <w:i/>
          <w:iCs/>
          <w:noProof/>
        </w:rPr>
      </w:pPr>
      <w:r w:rsidRPr="006D5248">
        <w:rPr>
          <w:i/>
          <w:iCs/>
          <w:noProof/>
        </w:rPr>
        <w:t xml:space="preserve">This compares to FY22 </w:t>
      </w:r>
      <w:r w:rsidR="00E54B6B" w:rsidRPr="006D5248">
        <w:rPr>
          <w:i/>
          <w:iCs/>
          <w:noProof/>
        </w:rPr>
        <w:t xml:space="preserve">at </w:t>
      </w:r>
      <w:r w:rsidR="00CD2328" w:rsidRPr="006D5248">
        <w:rPr>
          <w:i/>
          <w:iCs/>
          <w:noProof/>
        </w:rPr>
        <w:t>46% yes and 54% no.</w:t>
      </w:r>
    </w:p>
    <w:p w14:paraId="4405E22C" w14:textId="77777777" w:rsidR="00535969" w:rsidRDefault="00535969">
      <w:pPr>
        <w:rPr>
          <w:noProof/>
        </w:rPr>
      </w:pPr>
    </w:p>
    <w:p w14:paraId="63F38114" w14:textId="77777777" w:rsidR="00E36A18" w:rsidRDefault="00E36A18" w:rsidP="00535969">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5B6E9B" w14:textId="77777777" w:rsidR="00E36A18" w:rsidRDefault="00E36A18" w:rsidP="00535969">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7E987D" w14:textId="77777777" w:rsidR="00E36A18" w:rsidRDefault="00E36A18" w:rsidP="00535969">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061089" w14:textId="77777777" w:rsidR="00E36A18" w:rsidRDefault="00E36A18" w:rsidP="00535969">
      <w:pPr>
        <w:jc w:val="center"/>
        <w:rPr>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9C337F" w14:textId="56ACC4C8" w:rsidR="00830326" w:rsidRPr="00872F21" w:rsidRDefault="00830326" w:rsidP="00535969">
      <w:pPr>
        <w:jc w:val="center"/>
        <w:rPr>
          <w:noProof/>
        </w:rPr>
      </w:pPr>
      <w:r w:rsidRPr="00872F21">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DID YOU HEAR ABOUT SMCAA?</w:t>
      </w:r>
    </w:p>
    <w:p w14:paraId="0C831EBE" w14:textId="100905D9" w:rsidR="003A0896" w:rsidRDefault="00535969">
      <w:pPr>
        <w:rPr>
          <w:noProof/>
        </w:rPr>
      </w:pPr>
      <w:r>
        <w:rPr>
          <w:noProof/>
          <w14:ligatures w14:val="standardContextual"/>
        </w:rPr>
        <w:drawing>
          <wp:inline distT="0" distB="0" distL="0" distR="0" wp14:anchorId="45320809" wp14:editId="004AB7BA">
            <wp:extent cx="6132443" cy="2444115"/>
            <wp:effectExtent l="0" t="0" r="1905" b="13335"/>
            <wp:docPr id="185828699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39C43A" w14:textId="4E5B0B15" w:rsidR="003A0896" w:rsidRDefault="00770805" w:rsidP="00535969">
      <w:pPr>
        <w:jc w:val="center"/>
        <w:rPr>
          <w:i/>
          <w:iCs/>
          <w:noProof/>
        </w:rPr>
      </w:pPr>
      <w:r w:rsidRPr="00535969">
        <w:rPr>
          <w:i/>
          <w:iCs/>
          <w:noProof/>
        </w:rPr>
        <w:t xml:space="preserve">Under “Other,” </w:t>
      </w:r>
      <w:r w:rsidR="009F36DB" w:rsidRPr="00535969">
        <w:rPr>
          <w:i/>
          <w:iCs/>
          <w:noProof/>
        </w:rPr>
        <w:t>one client</w:t>
      </w:r>
      <w:r w:rsidR="000C78C6" w:rsidRPr="00535969">
        <w:rPr>
          <w:i/>
          <w:iCs/>
          <w:noProof/>
        </w:rPr>
        <w:t xml:space="preserve"> wrote in “Self</w:t>
      </w:r>
      <w:r w:rsidR="00761E0A">
        <w:rPr>
          <w:i/>
          <w:iCs/>
          <w:noProof/>
        </w:rPr>
        <w:t>.” No</w:t>
      </w:r>
      <w:r w:rsidR="00087308">
        <w:rPr>
          <w:i/>
          <w:iCs/>
          <w:noProof/>
        </w:rPr>
        <w:t xml:space="preserve"> additional</w:t>
      </w:r>
      <w:r w:rsidR="00761E0A">
        <w:rPr>
          <w:i/>
          <w:iCs/>
          <w:noProof/>
        </w:rPr>
        <w:t xml:space="preserve"> sources were noted.</w:t>
      </w:r>
    </w:p>
    <w:p w14:paraId="5AFDE278" w14:textId="23D73EC5" w:rsidR="00C46251" w:rsidRDefault="00872F21" w:rsidP="00535969">
      <w:pPr>
        <w:jc w:val="center"/>
        <w:rPr>
          <w:i/>
          <w:iCs/>
          <w:noProof/>
        </w:rPr>
      </w:pPr>
      <w:r>
        <w:rPr>
          <w:i/>
          <w:iCs/>
          <w:noProof/>
        </w:rPr>
        <w:t>FY22</w:t>
      </w:r>
    </w:p>
    <w:p w14:paraId="10BA0B78" w14:textId="0CEFBBC6" w:rsidR="00872F21" w:rsidRDefault="00872F21" w:rsidP="00535969">
      <w:pPr>
        <w:jc w:val="center"/>
        <w:rPr>
          <w:i/>
          <w:iCs/>
          <w:noProof/>
        </w:rPr>
      </w:pPr>
      <w:r>
        <w:rPr>
          <w:i/>
          <w:iCs/>
          <w:noProof/>
        </w:rPr>
        <w:t>Family/Friend—</w:t>
      </w:r>
      <w:r w:rsidR="002877F4">
        <w:rPr>
          <w:i/>
          <w:iCs/>
          <w:noProof/>
        </w:rPr>
        <w:t>38%</w:t>
      </w:r>
    </w:p>
    <w:p w14:paraId="4F84FA50" w14:textId="1026AA60" w:rsidR="00872F21" w:rsidRDefault="00872F21" w:rsidP="00535969">
      <w:pPr>
        <w:jc w:val="center"/>
        <w:rPr>
          <w:i/>
          <w:iCs/>
          <w:noProof/>
        </w:rPr>
      </w:pPr>
      <w:r>
        <w:rPr>
          <w:i/>
          <w:iCs/>
          <w:noProof/>
        </w:rPr>
        <w:t>Referal from Another Agency—</w:t>
      </w:r>
      <w:r w:rsidR="002877F4">
        <w:rPr>
          <w:i/>
          <w:iCs/>
          <w:noProof/>
        </w:rPr>
        <w:t>33%</w:t>
      </w:r>
    </w:p>
    <w:p w14:paraId="359CD9D5" w14:textId="0F02CF9A" w:rsidR="00872F21" w:rsidRDefault="003E2660" w:rsidP="00535969">
      <w:pPr>
        <w:jc w:val="center"/>
        <w:rPr>
          <w:i/>
          <w:iCs/>
          <w:noProof/>
        </w:rPr>
      </w:pPr>
      <w:r>
        <w:rPr>
          <w:i/>
          <w:iCs/>
          <w:noProof/>
        </w:rPr>
        <w:t>Other—</w:t>
      </w:r>
      <w:r w:rsidR="002877F4">
        <w:rPr>
          <w:i/>
          <w:iCs/>
          <w:noProof/>
        </w:rPr>
        <w:t>20%</w:t>
      </w:r>
    </w:p>
    <w:p w14:paraId="4E3E214D" w14:textId="3459AA58" w:rsidR="003E2660" w:rsidRDefault="003E2660" w:rsidP="00535969">
      <w:pPr>
        <w:jc w:val="center"/>
        <w:rPr>
          <w:i/>
          <w:iCs/>
          <w:noProof/>
        </w:rPr>
      </w:pPr>
      <w:r>
        <w:rPr>
          <w:i/>
          <w:iCs/>
          <w:noProof/>
        </w:rPr>
        <w:t>Social Media</w:t>
      </w:r>
      <w:r w:rsidR="0024444F">
        <w:rPr>
          <w:i/>
          <w:iCs/>
          <w:noProof/>
        </w:rPr>
        <w:t>—3%</w:t>
      </w:r>
      <w:r>
        <w:rPr>
          <w:i/>
          <w:iCs/>
          <w:noProof/>
        </w:rPr>
        <w:br/>
        <w:t>Search Engine—</w:t>
      </w:r>
      <w:r w:rsidR="0024444F">
        <w:rPr>
          <w:i/>
          <w:iCs/>
          <w:noProof/>
        </w:rPr>
        <w:t>4%</w:t>
      </w:r>
    </w:p>
    <w:p w14:paraId="08F94150" w14:textId="35E06691" w:rsidR="003E2660" w:rsidRDefault="003E2660" w:rsidP="00535969">
      <w:pPr>
        <w:jc w:val="center"/>
        <w:rPr>
          <w:i/>
          <w:iCs/>
          <w:noProof/>
        </w:rPr>
      </w:pPr>
      <w:r>
        <w:rPr>
          <w:i/>
          <w:iCs/>
          <w:noProof/>
        </w:rPr>
        <w:t>Newpaper</w:t>
      </w:r>
      <w:r w:rsidR="0024444F">
        <w:rPr>
          <w:i/>
          <w:iCs/>
          <w:noProof/>
        </w:rPr>
        <w:t xml:space="preserve">—1% </w:t>
      </w:r>
    </w:p>
    <w:p w14:paraId="6BC40D5B" w14:textId="2676A628" w:rsidR="001C13EE" w:rsidRPr="00535969" w:rsidRDefault="001C13EE" w:rsidP="00535969">
      <w:pPr>
        <w:jc w:val="center"/>
        <w:rPr>
          <w:i/>
          <w:iCs/>
          <w:noProof/>
        </w:rPr>
      </w:pPr>
      <w:r>
        <w:rPr>
          <w:i/>
          <w:iCs/>
          <w:noProof/>
        </w:rPr>
        <w:t xml:space="preserve">(These </w:t>
      </w:r>
      <w:r w:rsidR="00F54824">
        <w:rPr>
          <w:i/>
          <w:iCs/>
          <w:noProof/>
        </w:rPr>
        <w:t>FY22 numbers</w:t>
      </w:r>
      <w:r w:rsidR="002B71EA">
        <w:rPr>
          <w:i/>
          <w:iCs/>
          <w:noProof/>
        </w:rPr>
        <w:t xml:space="preserve"> when rounded</w:t>
      </w:r>
      <w:r w:rsidR="00193582">
        <w:rPr>
          <w:i/>
          <w:iCs/>
          <w:noProof/>
        </w:rPr>
        <w:t xml:space="preserve"> and compiled</w:t>
      </w:r>
      <w:r w:rsidR="00F54824">
        <w:rPr>
          <w:i/>
          <w:iCs/>
          <w:noProof/>
        </w:rPr>
        <w:t xml:space="preserve"> </w:t>
      </w:r>
      <w:r w:rsidR="00087308">
        <w:rPr>
          <w:i/>
          <w:iCs/>
          <w:noProof/>
        </w:rPr>
        <w:t>are</w:t>
      </w:r>
      <w:r>
        <w:rPr>
          <w:i/>
          <w:iCs/>
          <w:noProof/>
        </w:rPr>
        <w:t xml:space="preserve"> 99%</w:t>
      </w:r>
      <w:r w:rsidR="00193582">
        <w:rPr>
          <w:i/>
          <w:iCs/>
          <w:noProof/>
        </w:rPr>
        <w:t>; it is unclear</w:t>
      </w:r>
      <w:r w:rsidR="003B5772">
        <w:rPr>
          <w:i/>
          <w:iCs/>
          <w:noProof/>
        </w:rPr>
        <w:t xml:space="preserve"> where the</w:t>
      </w:r>
      <w:r w:rsidR="00087308">
        <w:rPr>
          <w:i/>
          <w:iCs/>
          <w:noProof/>
        </w:rPr>
        <w:t xml:space="preserve"> additional</w:t>
      </w:r>
      <w:r w:rsidR="003B5772">
        <w:rPr>
          <w:i/>
          <w:iCs/>
          <w:noProof/>
        </w:rPr>
        <w:t xml:space="preserve"> 1% </w:t>
      </w:r>
      <w:r w:rsidR="00087308">
        <w:rPr>
          <w:i/>
          <w:iCs/>
          <w:noProof/>
        </w:rPr>
        <w:t>was derived</w:t>
      </w:r>
      <w:r w:rsidR="002B71EA">
        <w:rPr>
          <w:i/>
          <w:iCs/>
          <w:noProof/>
        </w:rPr>
        <w:t>)</w:t>
      </w:r>
    </w:p>
    <w:p w14:paraId="399B9845" w14:textId="1AA08B56" w:rsidR="008824F8" w:rsidRDefault="008824F8" w:rsidP="008824F8">
      <w:pPr>
        <w:jc w:val="center"/>
        <w:rPr>
          <w:noProof/>
        </w:rPr>
      </w:pPr>
      <w:r>
        <w:rPr>
          <w:noProof/>
          <w14:ligatures w14:val="standardContextual"/>
        </w:rPr>
        <w:lastRenderedPageBreak/>
        <w:drawing>
          <wp:anchor distT="0" distB="0" distL="114300" distR="114300" simplePos="0" relativeHeight="251659264" behindDoc="0" locked="0" layoutInCell="1" allowOverlap="1" wp14:anchorId="40D80CB5" wp14:editId="493EF24E">
            <wp:simplePos x="0" y="0"/>
            <wp:positionH relativeFrom="margin">
              <wp:align>right</wp:align>
            </wp:positionH>
            <wp:positionV relativeFrom="paragraph">
              <wp:posOffset>342900</wp:posOffset>
            </wp:positionV>
            <wp:extent cx="6136640" cy="3331845"/>
            <wp:effectExtent l="0" t="0" r="16510" b="1905"/>
            <wp:wrapSquare wrapText="bothSides"/>
            <wp:docPr id="76322824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323560" w:rsidRPr="004624BA">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WHICH SMCAA SERVICE OR PROGRAM DID YOU RECEIVE DURING YOUR VISIT</w:t>
      </w:r>
    </w:p>
    <w:p w14:paraId="77C55F6B" w14:textId="77777777" w:rsidR="00290766" w:rsidRDefault="00290766" w:rsidP="008824F8">
      <w:pPr>
        <w:jc w:val="center"/>
        <w:rPr>
          <w:i/>
          <w:iCs/>
          <w:noProof/>
        </w:rPr>
      </w:pPr>
    </w:p>
    <w:p w14:paraId="70F2ED55" w14:textId="36A51FE5" w:rsidR="00691D62" w:rsidRPr="008824F8" w:rsidRDefault="0098689D" w:rsidP="008824F8">
      <w:pPr>
        <w:jc w:val="center"/>
        <w:rPr>
          <w:i/>
          <w:iCs/>
          <w:noProof/>
        </w:rPr>
      </w:pPr>
      <w:r w:rsidRPr="008824F8">
        <w:rPr>
          <w:i/>
          <w:iCs/>
          <w:noProof/>
        </w:rPr>
        <w:t xml:space="preserve">Because this question option allows client to select more than one answer, </w:t>
      </w:r>
      <w:r w:rsidR="001A3B7E" w:rsidRPr="008824F8">
        <w:rPr>
          <w:i/>
          <w:iCs/>
          <w:noProof/>
        </w:rPr>
        <w:t>final numbers</w:t>
      </w:r>
      <w:r w:rsidR="00691D62" w:rsidRPr="008824F8">
        <w:rPr>
          <w:i/>
          <w:iCs/>
          <w:noProof/>
        </w:rPr>
        <w:t xml:space="preserve"> are larger than the total number of respondants.</w:t>
      </w:r>
    </w:p>
    <w:p w14:paraId="673BCF14" w14:textId="77777777" w:rsidR="00691D62" w:rsidRDefault="00691D62" w:rsidP="008824F8">
      <w:pPr>
        <w:jc w:val="center"/>
        <w:rPr>
          <w:i/>
          <w:iCs/>
          <w:noProof/>
        </w:rPr>
      </w:pPr>
      <w:r w:rsidRPr="008824F8">
        <w:rPr>
          <w:i/>
          <w:iCs/>
          <w:noProof/>
        </w:rPr>
        <w:t>Write-in’s for “Other” were “Propane,” and “CERA.”</w:t>
      </w:r>
    </w:p>
    <w:p w14:paraId="72F25DD7" w14:textId="57AEE5D7" w:rsidR="00FD6BA5" w:rsidRDefault="00FD6BA5" w:rsidP="00FD6BA5">
      <w:pPr>
        <w:ind w:firstLine="720"/>
        <w:rPr>
          <w:noProof/>
        </w:rPr>
      </w:pPr>
      <w:r>
        <w:rPr>
          <w:noProof/>
        </w:rPr>
        <w:t>FY 22</w:t>
      </w:r>
    </w:p>
    <w:p w14:paraId="00C069D4" w14:textId="175BCFEA" w:rsidR="00FD6BA5" w:rsidRDefault="00FD6BA5" w:rsidP="00FD6BA5">
      <w:pPr>
        <w:pStyle w:val="ListParagraph"/>
        <w:numPr>
          <w:ilvl w:val="0"/>
          <w:numId w:val="7"/>
        </w:numPr>
        <w:rPr>
          <w:noProof/>
        </w:rPr>
      </w:pPr>
      <w:r w:rsidRPr="00FD6BA5">
        <w:rPr>
          <w:noProof/>
        </w:rPr>
        <w:t>Food Assistance – 6%</w:t>
      </w:r>
    </w:p>
    <w:p w14:paraId="576336C4" w14:textId="172A941C" w:rsidR="00FD6BA5" w:rsidRDefault="00FD6BA5" w:rsidP="00FD6BA5">
      <w:pPr>
        <w:pStyle w:val="ListParagraph"/>
        <w:numPr>
          <w:ilvl w:val="0"/>
          <w:numId w:val="7"/>
        </w:numPr>
        <w:rPr>
          <w:noProof/>
        </w:rPr>
      </w:pPr>
      <w:r>
        <w:rPr>
          <w:noProof/>
        </w:rPr>
        <w:t xml:space="preserve">Utility Assistance </w:t>
      </w:r>
      <w:r w:rsidR="00D83144">
        <w:rPr>
          <w:noProof/>
        </w:rPr>
        <w:t>–</w:t>
      </w:r>
      <w:r>
        <w:rPr>
          <w:noProof/>
        </w:rPr>
        <w:t xml:space="preserve"> </w:t>
      </w:r>
      <w:r w:rsidR="00D83144">
        <w:rPr>
          <w:noProof/>
        </w:rPr>
        <w:t>57%</w:t>
      </w:r>
    </w:p>
    <w:p w14:paraId="57DAFC81" w14:textId="555CAD70" w:rsidR="00EB1667" w:rsidRDefault="00D83144" w:rsidP="00EB1667">
      <w:pPr>
        <w:pStyle w:val="ListParagraph"/>
        <w:numPr>
          <w:ilvl w:val="0"/>
          <w:numId w:val="7"/>
        </w:numPr>
        <w:rPr>
          <w:noProof/>
        </w:rPr>
      </w:pPr>
      <w:r>
        <w:rPr>
          <w:noProof/>
        </w:rPr>
        <w:t>Rent/Mortgage Assistance – 26%</w:t>
      </w:r>
    </w:p>
    <w:p w14:paraId="384A3237" w14:textId="21C2156D" w:rsidR="00D83144" w:rsidRDefault="00D83144" w:rsidP="00FD6BA5">
      <w:pPr>
        <w:pStyle w:val="ListParagraph"/>
        <w:numPr>
          <w:ilvl w:val="0"/>
          <w:numId w:val="7"/>
        </w:numPr>
        <w:rPr>
          <w:noProof/>
        </w:rPr>
      </w:pPr>
      <w:r>
        <w:rPr>
          <w:noProof/>
        </w:rPr>
        <w:t xml:space="preserve">Car Repair/Payment </w:t>
      </w:r>
      <w:r w:rsidR="00E02F1E">
        <w:rPr>
          <w:noProof/>
        </w:rPr>
        <w:t>– 1%</w:t>
      </w:r>
    </w:p>
    <w:p w14:paraId="3E4A993B" w14:textId="2EF8099D" w:rsidR="00E02F1E" w:rsidRDefault="00E02F1E" w:rsidP="00FD6BA5">
      <w:pPr>
        <w:pStyle w:val="ListParagraph"/>
        <w:numPr>
          <w:ilvl w:val="0"/>
          <w:numId w:val="7"/>
        </w:numPr>
        <w:rPr>
          <w:noProof/>
        </w:rPr>
      </w:pPr>
      <w:r>
        <w:rPr>
          <w:noProof/>
        </w:rPr>
        <w:t>Homeless Shelter – Less than 1%</w:t>
      </w:r>
    </w:p>
    <w:p w14:paraId="5FD25730" w14:textId="673AD344" w:rsidR="00EB1667" w:rsidRDefault="00EB1667" w:rsidP="00FD6BA5">
      <w:pPr>
        <w:pStyle w:val="ListParagraph"/>
        <w:numPr>
          <w:ilvl w:val="0"/>
          <w:numId w:val="7"/>
        </w:numPr>
        <w:rPr>
          <w:noProof/>
        </w:rPr>
      </w:pPr>
      <w:r>
        <w:rPr>
          <w:noProof/>
        </w:rPr>
        <w:t xml:space="preserve">Home Repair </w:t>
      </w:r>
      <w:r w:rsidR="00C534B0">
        <w:rPr>
          <w:noProof/>
        </w:rPr>
        <w:t>–</w:t>
      </w:r>
      <w:r>
        <w:rPr>
          <w:noProof/>
        </w:rPr>
        <w:t xml:space="preserve"> </w:t>
      </w:r>
      <w:r w:rsidR="00C534B0">
        <w:rPr>
          <w:noProof/>
        </w:rPr>
        <w:t>3%</w:t>
      </w:r>
    </w:p>
    <w:p w14:paraId="12B06392" w14:textId="76D4D94A" w:rsidR="00E02F1E" w:rsidRDefault="00E02F1E" w:rsidP="00FD6BA5">
      <w:pPr>
        <w:pStyle w:val="ListParagraph"/>
        <w:numPr>
          <w:ilvl w:val="0"/>
          <w:numId w:val="7"/>
        </w:numPr>
        <w:rPr>
          <w:noProof/>
        </w:rPr>
      </w:pPr>
      <w:r>
        <w:rPr>
          <w:noProof/>
        </w:rPr>
        <w:t>Weatherization – 4%</w:t>
      </w:r>
    </w:p>
    <w:p w14:paraId="5F5FB039" w14:textId="577EF3FE" w:rsidR="00E02F1E" w:rsidRDefault="00E02F1E" w:rsidP="00FD6BA5">
      <w:pPr>
        <w:pStyle w:val="ListParagraph"/>
        <w:numPr>
          <w:ilvl w:val="0"/>
          <w:numId w:val="7"/>
        </w:numPr>
        <w:rPr>
          <w:noProof/>
        </w:rPr>
      </w:pPr>
      <w:r>
        <w:rPr>
          <w:noProof/>
        </w:rPr>
        <w:t xml:space="preserve">Case Management </w:t>
      </w:r>
      <w:r w:rsidR="00C16CA5">
        <w:rPr>
          <w:noProof/>
        </w:rPr>
        <w:t>– 0%</w:t>
      </w:r>
    </w:p>
    <w:p w14:paraId="43A23FBE" w14:textId="349E4472" w:rsidR="00C16CA5" w:rsidRPr="00FD6BA5" w:rsidRDefault="00C16CA5" w:rsidP="00FD6BA5">
      <w:pPr>
        <w:pStyle w:val="ListParagraph"/>
        <w:numPr>
          <w:ilvl w:val="0"/>
          <w:numId w:val="7"/>
        </w:numPr>
        <w:rPr>
          <w:noProof/>
        </w:rPr>
      </w:pPr>
      <w:r>
        <w:rPr>
          <w:noProof/>
        </w:rPr>
        <w:t xml:space="preserve">Other – 3% </w:t>
      </w:r>
    </w:p>
    <w:p w14:paraId="48EA823D" w14:textId="2643CD9E" w:rsidR="00C16CA5" w:rsidRDefault="00C16CA5" w:rsidP="00C16CA5">
      <w:pPr>
        <w:ind w:left="720"/>
        <w:rPr>
          <w:noProof/>
        </w:rPr>
      </w:pPr>
      <w:r>
        <w:rPr>
          <w:noProof/>
        </w:rPr>
        <w:t>FY 23</w:t>
      </w:r>
    </w:p>
    <w:p w14:paraId="5B744AC3" w14:textId="60E37654" w:rsidR="00C16CA5" w:rsidRDefault="00C16CA5" w:rsidP="00C16CA5">
      <w:pPr>
        <w:pStyle w:val="ListParagraph"/>
        <w:numPr>
          <w:ilvl w:val="0"/>
          <w:numId w:val="9"/>
        </w:numPr>
        <w:rPr>
          <w:noProof/>
        </w:rPr>
      </w:pPr>
      <w:r>
        <w:rPr>
          <w:noProof/>
        </w:rPr>
        <w:t>Food Assistance – 4%</w:t>
      </w:r>
    </w:p>
    <w:p w14:paraId="46FB1038" w14:textId="7086A480" w:rsidR="00C16CA5" w:rsidRDefault="008C17EC" w:rsidP="00C16CA5">
      <w:pPr>
        <w:pStyle w:val="ListParagraph"/>
        <w:numPr>
          <w:ilvl w:val="0"/>
          <w:numId w:val="9"/>
        </w:numPr>
        <w:rPr>
          <w:noProof/>
        </w:rPr>
      </w:pPr>
      <w:r>
        <w:rPr>
          <w:noProof/>
        </w:rPr>
        <w:t>Utility Assistance – 25%</w:t>
      </w:r>
    </w:p>
    <w:p w14:paraId="56104C3F" w14:textId="53A38355" w:rsidR="008C17EC" w:rsidRDefault="0033175A" w:rsidP="00C16CA5">
      <w:pPr>
        <w:pStyle w:val="ListParagraph"/>
        <w:numPr>
          <w:ilvl w:val="0"/>
          <w:numId w:val="9"/>
        </w:numPr>
        <w:rPr>
          <w:noProof/>
        </w:rPr>
      </w:pPr>
      <w:r>
        <w:rPr>
          <w:noProof/>
        </w:rPr>
        <w:t xml:space="preserve">Rent/Mortgage Assistance </w:t>
      </w:r>
      <w:r w:rsidR="00AB62B4">
        <w:rPr>
          <w:noProof/>
        </w:rPr>
        <w:t>– 17%</w:t>
      </w:r>
    </w:p>
    <w:p w14:paraId="62D31ADB" w14:textId="24D367B6" w:rsidR="00AB62B4" w:rsidRDefault="00AB62B4" w:rsidP="00C16CA5">
      <w:pPr>
        <w:pStyle w:val="ListParagraph"/>
        <w:numPr>
          <w:ilvl w:val="0"/>
          <w:numId w:val="9"/>
        </w:numPr>
        <w:rPr>
          <w:noProof/>
        </w:rPr>
      </w:pPr>
      <w:r>
        <w:rPr>
          <w:noProof/>
        </w:rPr>
        <w:t>Car Repair/Payment – 1%</w:t>
      </w:r>
    </w:p>
    <w:p w14:paraId="40F306DE" w14:textId="62CE2E57" w:rsidR="00AB62B4" w:rsidRDefault="00AB62B4" w:rsidP="00C16CA5">
      <w:pPr>
        <w:pStyle w:val="ListParagraph"/>
        <w:numPr>
          <w:ilvl w:val="0"/>
          <w:numId w:val="9"/>
        </w:numPr>
        <w:rPr>
          <w:noProof/>
        </w:rPr>
      </w:pPr>
      <w:r>
        <w:rPr>
          <w:noProof/>
        </w:rPr>
        <w:t>Homeless Shelter – 6%</w:t>
      </w:r>
    </w:p>
    <w:p w14:paraId="6ABBC8D0" w14:textId="67960FD9" w:rsidR="00AB62B4" w:rsidRDefault="00AB62B4" w:rsidP="00C16CA5">
      <w:pPr>
        <w:pStyle w:val="ListParagraph"/>
        <w:numPr>
          <w:ilvl w:val="0"/>
          <w:numId w:val="9"/>
        </w:numPr>
        <w:rPr>
          <w:noProof/>
        </w:rPr>
      </w:pPr>
      <w:r>
        <w:rPr>
          <w:noProof/>
        </w:rPr>
        <w:t>Home Repair – 2%</w:t>
      </w:r>
    </w:p>
    <w:p w14:paraId="06469BFA" w14:textId="76375133" w:rsidR="00AB62B4" w:rsidRDefault="009D1EF7" w:rsidP="00C16CA5">
      <w:pPr>
        <w:pStyle w:val="ListParagraph"/>
        <w:numPr>
          <w:ilvl w:val="0"/>
          <w:numId w:val="9"/>
        </w:numPr>
        <w:rPr>
          <w:noProof/>
        </w:rPr>
      </w:pPr>
      <w:r>
        <w:rPr>
          <w:noProof/>
        </w:rPr>
        <w:t>Weatherization – 41%</w:t>
      </w:r>
    </w:p>
    <w:p w14:paraId="157ECFD3" w14:textId="11AB4366" w:rsidR="009D1EF7" w:rsidRDefault="009D1EF7" w:rsidP="00C16CA5">
      <w:pPr>
        <w:pStyle w:val="ListParagraph"/>
        <w:numPr>
          <w:ilvl w:val="0"/>
          <w:numId w:val="9"/>
        </w:numPr>
        <w:rPr>
          <w:noProof/>
        </w:rPr>
      </w:pPr>
      <w:r>
        <w:rPr>
          <w:noProof/>
        </w:rPr>
        <w:t>Case Management – Less than 1%</w:t>
      </w:r>
    </w:p>
    <w:p w14:paraId="3CF4A6E4" w14:textId="67689649" w:rsidR="008E7F2C" w:rsidRDefault="009D1EF7" w:rsidP="008E7F2C">
      <w:pPr>
        <w:pStyle w:val="ListParagraph"/>
        <w:numPr>
          <w:ilvl w:val="0"/>
          <w:numId w:val="9"/>
        </w:numPr>
        <w:rPr>
          <w:noProof/>
        </w:rPr>
      </w:pPr>
      <w:r>
        <w:rPr>
          <w:noProof/>
        </w:rPr>
        <w:t>Other – 3%</w:t>
      </w:r>
    </w:p>
    <w:p w14:paraId="4F822178" w14:textId="77777777" w:rsidR="008E7F2C" w:rsidRDefault="008E7F2C" w:rsidP="008E7F2C">
      <w:pPr>
        <w:rPr>
          <w:noProof/>
        </w:rPr>
      </w:pPr>
    </w:p>
    <w:p w14:paraId="19918A48" w14:textId="1BCDD32D" w:rsidR="00112E86" w:rsidRDefault="00112E86" w:rsidP="00290766">
      <w:pPr>
        <w:pStyle w:val="ListParagraph"/>
        <w:ind w:left="1440"/>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0766">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NEEDS WERE MET BASED ON THE SERVICES THE PROGRAM COULD PROVIDE</w:t>
      </w:r>
    </w:p>
    <w:p w14:paraId="6E0A1BED" w14:textId="77777777" w:rsidR="00290766" w:rsidRPr="00290766" w:rsidRDefault="00290766" w:rsidP="00290766">
      <w:pPr>
        <w:pStyle w:val="ListParagraph"/>
        <w:ind w:left="1440"/>
        <w:rPr>
          <w:noProof/>
        </w:rPr>
      </w:pPr>
    </w:p>
    <w:p w14:paraId="291F5219" w14:textId="0AFFF389" w:rsidR="00112E86" w:rsidRDefault="0007524A">
      <w:pPr>
        <w:rPr>
          <w:noProof/>
        </w:rPr>
      </w:pPr>
      <w:r>
        <w:rPr>
          <w:noProof/>
          <w14:ligatures w14:val="standardContextual"/>
        </w:rPr>
        <w:drawing>
          <wp:inline distT="0" distB="0" distL="0" distR="0" wp14:anchorId="55E45DF0" wp14:editId="62FAA475">
            <wp:extent cx="5926015" cy="2320290"/>
            <wp:effectExtent l="0" t="0" r="17780" b="3810"/>
            <wp:docPr id="193680724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B562C0" w14:textId="5A1AED42" w:rsidR="00112E86" w:rsidRPr="007F17EA" w:rsidRDefault="00112E86" w:rsidP="007F17EA">
      <w:pPr>
        <w:jc w:val="center"/>
        <w:rPr>
          <w:i/>
          <w:iCs/>
          <w:noProof/>
        </w:rPr>
      </w:pPr>
    </w:p>
    <w:p w14:paraId="4A388C2C" w14:textId="242F9F4C" w:rsidR="00401CC6" w:rsidRPr="007F17EA" w:rsidRDefault="001578B6" w:rsidP="007F17EA">
      <w:pPr>
        <w:jc w:val="center"/>
        <w:rPr>
          <w:i/>
          <w:iCs/>
          <w:noProof/>
        </w:rPr>
      </w:pPr>
      <w:r w:rsidRPr="007F17EA">
        <w:rPr>
          <w:i/>
          <w:iCs/>
          <w:noProof/>
        </w:rPr>
        <w:t>FY22</w:t>
      </w:r>
      <w:r w:rsidR="007F17EA" w:rsidRPr="007F17EA">
        <w:rPr>
          <w:i/>
          <w:iCs/>
          <w:noProof/>
        </w:rPr>
        <w:t>—98% overall satisfied</w:t>
      </w:r>
    </w:p>
    <w:p w14:paraId="19FFC9B2" w14:textId="677E1EBB" w:rsidR="007F17EA" w:rsidRPr="00B962F3" w:rsidRDefault="007F17EA" w:rsidP="00B962F3">
      <w:pPr>
        <w:jc w:val="center"/>
        <w:rPr>
          <w:i/>
          <w:iCs/>
          <w:noProof/>
        </w:rPr>
      </w:pPr>
      <w:r w:rsidRPr="007F17EA">
        <w:rPr>
          <w:i/>
          <w:iCs/>
          <w:noProof/>
        </w:rPr>
        <w:t>FY23—97% overall satisfied</w:t>
      </w:r>
    </w:p>
    <w:p w14:paraId="094CE295" w14:textId="77777777" w:rsidR="007F17EA" w:rsidRDefault="007F17EA" w:rsidP="00115157">
      <w:pPr>
        <w:jc w:val="center"/>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58DD6A" w14:textId="77777777" w:rsidR="007F17EA" w:rsidRDefault="007F17EA" w:rsidP="00115157">
      <w:pPr>
        <w:jc w:val="center"/>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02A505" w14:textId="659D15C4" w:rsidR="005011E0" w:rsidRDefault="00317675" w:rsidP="00115157">
      <w:pPr>
        <w:jc w:val="center"/>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5157">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WOULD RECOMMEND THIS PROGRAM IF A FRIEND NEEDED SIMILAR HELP</w:t>
      </w:r>
    </w:p>
    <w:p w14:paraId="1AAF9B25" w14:textId="77777777" w:rsidR="005F257D" w:rsidRPr="00115157" w:rsidRDefault="005F257D" w:rsidP="00115157">
      <w:pPr>
        <w:jc w:val="center"/>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A31B14" w14:textId="5B8170F4" w:rsidR="00FA4D12" w:rsidRDefault="005B391D">
      <w:pPr>
        <w:rPr>
          <w:noProof/>
        </w:rPr>
      </w:pPr>
      <w:r>
        <w:rPr>
          <w:noProof/>
          <w14:ligatures w14:val="standardContextual"/>
        </w:rPr>
        <w:drawing>
          <wp:inline distT="0" distB="0" distL="0" distR="0" wp14:anchorId="2B045B0E" wp14:editId="2C4A4B69">
            <wp:extent cx="5969635" cy="2540976"/>
            <wp:effectExtent l="0" t="0" r="12065" b="12065"/>
            <wp:docPr id="202202588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277B98" w14:textId="77777777" w:rsidR="007F17EA" w:rsidRDefault="007F17EA">
      <w:pPr>
        <w:rPr>
          <w:noProof/>
        </w:rPr>
      </w:pPr>
    </w:p>
    <w:p w14:paraId="7D788290" w14:textId="1C262E67" w:rsidR="007F17EA" w:rsidRDefault="007F17EA" w:rsidP="00B962F3">
      <w:pPr>
        <w:jc w:val="center"/>
        <w:rPr>
          <w:i/>
          <w:iCs/>
          <w:noProof/>
        </w:rPr>
      </w:pPr>
      <w:r w:rsidRPr="00B962F3">
        <w:rPr>
          <w:i/>
          <w:iCs/>
          <w:noProof/>
        </w:rPr>
        <w:t>FY22</w:t>
      </w:r>
      <w:r w:rsidR="00B962F3" w:rsidRPr="00B962F3">
        <w:rPr>
          <w:i/>
          <w:iCs/>
          <w:noProof/>
        </w:rPr>
        <w:t xml:space="preserve"> and FY23 both showed 98% overall satisfaction in this area.</w:t>
      </w:r>
    </w:p>
    <w:p w14:paraId="4B4BC2F6" w14:textId="77777777" w:rsidR="00B962F3" w:rsidRDefault="00B962F3" w:rsidP="00B962F3">
      <w:pPr>
        <w:jc w:val="center"/>
        <w:rPr>
          <w:i/>
          <w:iCs/>
          <w:noProof/>
        </w:rPr>
      </w:pPr>
    </w:p>
    <w:p w14:paraId="55DFD170" w14:textId="77777777" w:rsidR="00B962F3" w:rsidRPr="00B962F3" w:rsidRDefault="00B962F3" w:rsidP="008E7F2C">
      <w:pPr>
        <w:rPr>
          <w:i/>
          <w:iCs/>
          <w:noProof/>
        </w:rPr>
      </w:pPr>
    </w:p>
    <w:p w14:paraId="4760DAAC" w14:textId="77777777" w:rsidR="00290766" w:rsidRDefault="00290766" w:rsidP="00AD13A6">
      <w:pPr>
        <w:jc w:val="center"/>
        <w:rPr>
          <w:noProof/>
        </w:rPr>
      </w:pPr>
    </w:p>
    <w:p w14:paraId="55EFC87F" w14:textId="6F4BBB64" w:rsidR="004E52CF" w:rsidRPr="00AD13A6" w:rsidRDefault="007E68CC" w:rsidP="00AD13A6">
      <w:pPr>
        <w:jc w:val="center"/>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13A6">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BECAUSE OF COMMUNITY ACTION’S HELP, I HAVE IMPROVED MY SITUATION</w:t>
      </w:r>
    </w:p>
    <w:p w14:paraId="6BD38E10" w14:textId="5D07F629" w:rsidR="004E52CF" w:rsidRDefault="004E52CF">
      <w:pPr>
        <w:rPr>
          <w:noProof/>
        </w:rPr>
      </w:pPr>
    </w:p>
    <w:p w14:paraId="03133EB4" w14:textId="129B07E2" w:rsidR="004E52CF" w:rsidRDefault="004E52CF">
      <w:pPr>
        <w:rPr>
          <w:noProof/>
        </w:rPr>
      </w:pPr>
      <w:r>
        <w:rPr>
          <w:noProof/>
          <w14:ligatures w14:val="standardContextual"/>
        </w:rPr>
        <w:lastRenderedPageBreak/>
        <w:drawing>
          <wp:inline distT="0" distB="0" distL="0" distR="0" wp14:anchorId="427045C5" wp14:editId="1C0A3207">
            <wp:extent cx="6145530" cy="2769576"/>
            <wp:effectExtent l="0" t="0" r="7620" b="12065"/>
            <wp:docPr id="18009327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6C311E" w14:textId="77777777" w:rsidR="00290766" w:rsidRDefault="00290766" w:rsidP="006050BC">
      <w:pPr>
        <w:jc w:val="center"/>
        <w:rPr>
          <w:i/>
          <w:iCs/>
          <w:noProof/>
        </w:rPr>
      </w:pPr>
    </w:p>
    <w:p w14:paraId="0FEF4C98" w14:textId="743F9C05" w:rsidR="00625E47" w:rsidRDefault="00337588" w:rsidP="006050BC">
      <w:pPr>
        <w:jc w:val="center"/>
        <w:rPr>
          <w:i/>
          <w:iCs/>
          <w:noProof/>
        </w:rPr>
      </w:pPr>
      <w:r w:rsidRPr="006B6C59">
        <w:rPr>
          <w:i/>
          <w:iCs/>
          <w:noProof/>
        </w:rPr>
        <w:t>As several clients noted, a determinization on their Weatherization Program application had not yet</w:t>
      </w:r>
      <w:r w:rsidR="006B6C59" w:rsidRPr="006B6C59">
        <w:rPr>
          <w:i/>
          <w:iCs/>
          <w:noProof/>
        </w:rPr>
        <w:t xml:space="preserve"> been made, leaving </w:t>
      </w:r>
      <w:r w:rsidR="00122EE8">
        <w:rPr>
          <w:i/>
          <w:iCs/>
          <w:noProof/>
        </w:rPr>
        <w:t xml:space="preserve">a grey area in terms of their </w:t>
      </w:r>
      <w:r w:rsidR="006B6C59" w:rsidRPr="006B6C59">
        <w:rPr>
          <w:i/>
          <w:iCs/>
          <w:noProof/>
        </w:rPr>
        <w:t>improvement</w:t>
      </w:r>
      <w:r w:rsidR="0061679E">
        <w:rPr>
          <w:i/>
          <w:iCs/>
          <w:noProof/>
        </w:rPr>
        <w:t xml:space="preserve"> and a high response rate to “N/A”</w:t>
      </w:r>
    </w:p>
    <w:p w14:paraId="5341C3DF" w14:textId="628AB845" w:rsidR="009A17C5" w:rsidRDefault="009A17C5" w:rsidP="006050BC">
      <w:pPr>
        <w:jc w:val="center"/>
        <w:rPr>
          <w:i/>
          <w:iCs/>
          <w:noProof/>
        </w:rPr>
      </w:pPr>
      <w:r>
        <w:rPr>
          <w:i/>
          <w:iCs/>
          <w:noProof/>
        </w:rPr>
        <w:t>FY22</w:t>
      </w:r>
      <w:r w:rsidR="00072617">
        <w:rPr>
          <w:i/>
          <w:iCs/>
          <w:noProof/>
        </w:rPr>
        <w:t>—97% overall satisfaction</w:t>
      </w:r>
    </w:p>
    <w:p w14:paraId="55715B41" w14:textId="47566E12" w:rsidR="006050BC" w:rsidRPr="008E7F2C" w:rsidRDefault="00072617" w:rsidP="008E7F2C">
      <w:pPr>
        <w:jc w:val="center"/>
        <w:rPr>
          <w:i/>
          <w:iCs/>
          <w:noProof/>
        </w:rPr>
      </w:pPr>
      <w:r>
        <w:rPr>
          <w:i/>
          <w:iCs/>
          <w:noProof/>
        </w:rPr>
        <w:t>FY23</w:t>
      </w:r>
      <w:r w:rsidR="0061679E">
        <w:rPr>
          <w:i/>
          <w:iCs/>
          <w:noProof/>
        </w:rPr>
        <w:t>—98% overall satisfaction</w:t>
      </w:r>
    </w:p>
    <w:p w14:paraId="23453272" w14:textId="53D11493" w:rsidR="00D87D01" w:rsidRDefault="003B46A6" w:rsidP="006050BC">
      <w:pPr>
        <w:jc w:val="center"/>
      </w:pPr>
      <w:r>
        <w:rPr>
          <w:noProof/>
          <w14:ligatures w14:val="standardContextual"/>
        </w:rPr>
        <w:drawing>
          <wp:anchor distT="0" distB="0" distL="114300" distR="114300" simplePos="0" relativeHeight="251709440" behindDoc="0" locked="0" layoutInCell="1" allowOverlap="1" wp14:anchorId="75CDAEFA" wp14:editId="3EDD419D">
            <wp:simplePos x="0" y="0"/>
            <wp:positionH relativeFrom="column">
              <wp:posOffset>26035</wp:posOffset>
            </wp:positionH>
            <wp:positionV relativeFrom="paragraph">
              <wp:posOffset>271780</wp:posOffset>
            </wp:positionV>
            <wp:extent cx="6118860" cy="2787015"/>
            <wp:effectExtent l="0" t="0" r="15240" b="13335"/>
            <wp:wrapSquare wrapText="bothSides"/>
            <wp:docPr id="94735013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87D01" w:rsidRPr="006050B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OVERALL, THE QUALITY OF SERVICES I RECEIVED WERE EXCELLENT</w:t>
      </w:r>
    </w:p>
    <w:p w14:paraId="045355DF" w14:textId="77777777" w:rsidR="00290766" w:rsidRDefault="00290766" w:rsidP="00D04CA2">
      <w:pPr>
        <w:jc w:val="center"/>
        <w:rPr>
          <w:i/>
          <w:iCs/>
        </w:rPr>
      </w:pPr>
    </w:p>
    <w:p w14:paraId="074C5C31" w14:textId="79AF1EF9" w:rsidR="00290766" w:rsidRDefault="00D04CA2" w:rsidP="005F7937">
      <w:pPr>
        <w:jc w:val="center"/>
        <w:rPr>
          <w:i/>
          <w:iCs/>
        </w:rPr>
      </w:pPr>
      <w:r w:rsidRPr="00D04CA2">
        <w:rPr>
          <w:i/>
          <w:iCs/>
        </w:rPr>
        <w:t>FY22 and FY23 both showed 99% overall satisfaction in this area</w:t>
      </w:r>
      <w:r>
        <w:rPr>
          <w:i/>
          <w:iCs/>
        </w:rPr>
        <w:t>.</w:t>
      </w:r>
    </w:p>
    <w:p w14:paraId="2BA0EFBE" w14:textId="77777777" w:rsidR="005F7937" w:rsidRPr="005F7937" w:rsidRDefault="005F7937" w:rsidP="005F7937">
      <w:pPr>
        <w:jc w:val="center"/>
        <w:rPr>
          <w:i/>
          <w:iCs/>
        </w:rPr>
      </w:pPr>
    </w:p>
    <w:p w14:paraId="28BC7DA8" w14:textId="77777777" w:rsidR="00290766" w:rsidRDefault="00290766" w:rsidP="00F40E62">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94BC97" w14:textId="668D5987" w:rsidR="00557BEF" w:rsidRPr="00F40E62" w:rsidRDefault="00434476" w:rsidP="00F40E62">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0E6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 WAS COURTEOUS AND HELPFUL</w:t>
      </w:r>
    </w:p>
    <w:p w14:paraId="56CA993B" w14:textId="77777777" w:rsidR="00434476" w:rsidRDefault="00434476"/>
    <w:p w14:paraId="0AA74D33" w14:textId="399F3D31" w:rsidR="00434476" w:rsidRDefault="0085484F">
      <w:r>
        <w:rPr>
          <w:noProof/>
          <w14:ligatures w14:val="standardContextual"/>
        </w:rPr>
        <w:lastRenderedPageBreak/>
        <w:drawing>
          <wp:inline distT="0" distB="0" distL="0" distR="0" wp14:anchorId="4E886839" wp14:editId="0F0EFCA5">
            <wp:extent cx="6049010" cy="2769576"/>
            <wp:effectExtent l="0" t="0" r="8890" b="12065"/>
            <wp:docPr id="17474033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D9134F" w14:textId="77777777" w:rsidR="00290766" w:rsidRDefault="00290766" w:rsidP="00D04CA2">
      <w:pPr>
        <w:jc w:val="center"/>
        <w:rPr>
          <w:i/>
          <w:iCs/>
        </w:rPr>
      </w:pPr>
    </w:p>
    <w:p w14:paraId="0AB516E9" w14:textId="622D6DC5" w:rsidR="00D04CA2" w:rsidRPr="00D04CA2" w:rsidRDefault="00D04CA2" w:rsidP="00D04CA2">
      <w:pPr>
        <w:jc w:val="center"/>
        <w:rPr>
          <w:i/>
          <w:iCs/>
        </w:rPr>
      </w:pPr>
      <w:r w:rsidRPr="00D04CA2">
        <w:rPr>
          <w:i/>
          <w:iCs/>
        </w:rPr>
        <w:t>FY22 and FY23 both showed 99% overall satisfaction in this area</w:t>
      </w:r>
      <w:r>
        <w:rPr>
          <w:i/>
          <w:iCs/>
        </w:rPr>
        <w:t>.</w:t>
      </w:r>
    </w:p>
    <w:p w14:paraId="421069BC" w14:textId="77777777" w:rsidR="00D04CA2" w:rsidRDefault="00D04CA2"/>
    <w:p w14:paraId="7464CDA0" w14:textId="77777777" w:rsidR="008E7F2C" w:rsidRDefault="008E7F2C" w:rsidP="005F257D">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FCD105" w14:textId="77777777" w:rsidR="008E7F2C" w:rsidRDefault="008E7F2C" w:rsidP="005F257D">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26DD62" w14:textId="77777777" w:rsidR="008E7F2C" w:rsidRDefault="008E7F2C" w:rsidP="005F257D">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2F33BF" w14:textId="3EEB7CFD" w:rsidR="009C2D6A" w:rsidRPr="005F257D" w:rsidRDefault="009C2D6A" w:rsidP="005F257D">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33F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 LISTENED TO MY CONCERNS</w:t>
      </w:r>
    </w:p>
    <w:p w14:paraId="6E4B3D4F" w14:textId="77777777" w:rsidR="009C2D6A" w:rsidRDefault="009C2D6A"/>
    <w:p w14:paraId="3C0CF5D2" w14:textId="152539D8" w:rsidR="00D3245A" w:rsidRDefault="00AA406E">
      <w:r>
        <w:rPr>
          <w:noProof/>
          <w14:ligatures w14:val="standardContextual"/>
        </w:rPr>
        <w:drawing>
          <wp:inline distT="0" distB="0" distL="0" distR="0" wp14:anchorId="214D788D" wp14:editId="2E404176">
            <wp:extent cx="6049010" cy="3200400"/>
            <wp:effectExtent l="0" t="0" r="8890" b="0"/>
            <wp:docPr id="14058202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EADD48" w14:textId="77777777" w:rsidR="00290766" w:rsidRDefault="00290766" w:rsidP="00FC3CB5">
      <w:pPr>
        <w:jc w:val="center"/>
        <w:rPr>
          <w:i/>
          <w:iCs/>
        </w:rPr>
      </w:pPr>
    </w:p>
    <w:p w14:paraId="4DB0C576" w14:textId="246F458C" w:rsidR="00FC3CB5" w:rsidRDefault="00D3245A" w:rsidP="00437B6A">
      <w:pPr>
        <w:jc w:val="center"/>
        <w:rPr>
          <w:i/>
          <w:iCs/>
        </w:rPr>
      </w:pPr>
      <w:r w:rsidRPr="003133FA">
        <w:rPr>
          <w:i/>
          <w:iCs/>
        </w:rPr>
        <w:t>FY 22</w:t>
      </w:r>
      <w:r w:rsidR="00437B6A">
        <w:rPr>
          <w:i/>
          <w:iCs/>
        </w:rPr>
        <w:t>—</w:t>
      </w:r>
      <w:r w:rsidRPr="003133FA">
        <w:rPr>
          <w:i/>
          <w:iCs/>
        </w:rPr>
        <w:t>97%</w:t>
      </w:r>
      <w:r w:rsidR="00437B6A">
        <w:rPr>
          <w:i/>
          <w:iCs/>
        </w:rPr>
        <w:t xml:space="preserve"> overall satisfaction</w:t>
      </w:r>
    </w:p>
    <w:p w14:paraId="26E3B524" w14:textId="6FE5A829" w:rsidR="00D3245A" w:rsidRPr="003133FA" w:rsidRDefault="00D3245A" w:rsidP="00FC3CB5">
      <w:pPr>
        <w:jc w:val="center"/>
        <w:rPr>
          <w:i/>
          <w:iCs/>
        </w:rPr>
      </w:pPr>
      <w:r w:rsidRPr="003133FA">
        <w:rPr>
          <w:i/>
          <w:iCs/>
        </w:rPr>
        <w:t>FY 23</w:t>
      </w:r>
      <w:r w:rsidR="00864D2A">
        <w:rPr>
          <w:i/>
          <w:iCs/>
        </w:rPr>
        <w:t>—</w:t>
      </w:r>
      <w:r w:rsidR="003A2F9E" w:rsidRPr="003133FA">
        <w:rPr>
          <w:i/>
          <w:iCs/>
        </w:rPr>
        <w:t>98%</w:t>
      </w:r>
      <w:r w:rsidR="00864D2A">
        <w:rPr>
          <w:i/>
          <w:iCs/>
        </w:rPr>
        <w:t xml:space="preserve"> overall satisfaction</w:t>
      </w:r>
    </w:p>
    <w:p w14:paraId="6D10B6F2" w14:textId="77777777" w:rsidR="005F7937" w:rsidRDefault="005F7937" w:rsidP="0003655C">
      <w:pPr>
        <w:jc w:val="center"/>
      </w:pPr>
    </w:p>
    <w:p w14:paraId="471F290F" w14:textId="5F2D6F39" w:rsidR="00246299" w:rsidRPr="0003655C" w:rsidRDefault="00CC155E" w:rsidP="0003655C">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655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SERVICES WERE PROVIDED TO ME IN A TIMELY MANNER</w:t>
      </w:r>
    </w:p>
    <w:p w14:paraId="4DFC9999" w14:textId="77777777" w:rsidR="00CC155E" w:rsidRDefault="00CC155E"/>
    <w:p w14:paraId="21A4180C" w14:textId="0E3B9A05" w:rsidR="00895429" w:rsidRDefault="00895429">
      <w:r>
        <w:rPr>
          <w:noProof/>
          <w14:ligatures w14:val="standardContextual"/>
        </w:rPr>
        <w:drawing>
          <wp:inline distT="0" distB="0" distL="0" distR="0" wp14:anchorId="1F90722F" wp14:editId="5B3D4FD5">
            <wp:extent cx="6136640" cy="3042138"/>
            <wp:effectExtent l="0" t="0" r="16510" b="6350"/>
            <wp:docPr id="168525425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A764A2" w14:textId="61B915E7" w:rsidR="00CC155E" w:rsidRPr="00D15F90" w:rsidRDefault="00FC3CB5" w:rsidP="00D15F90">
      <w:pPr>
        <w:jc w:val="center"/>
        <w:rPr>
          <w:i/>
          <w:iCs/>
        </w:rPr>
      </w:pPr>
      <w:r w:rsidRPr="00D15F90">
        <w:rPr>
          <w:i/>
          <w:iCs/>
        </w:rPr>
        <w:t>FY22</w:t>
      </w:r>
      <w:r w:rsidR="00EF0B3E" w:rsidRPr="00D15F90">
        <w:rPr>
          <w:i/>
          <w:iCs/>
        </w:rPr>
        <w:t>—</w:t>
      </w:r>
      <w:r w:rsidRPr="00D15F90">
        <w:rPr>
          <w:i/>
          <w:iCs/>
        </w:rPr>
        <w:t>96%</w:t>
      </w:r>
      <w:r w:rsidR="00437B6A">
        <w:rPr>
          <w:i/>
          <w:iCs/>
        </w:rPr>
        <w:t xml:space="preserve"> overall satisfaction</w:t>
      </w:r>
    </w:p>
    <w:p w14:paraId="5C8BAB40" w14:textId="77777777" w:rsidR="008E7F2C" w:rsidRDefault="00EF0B3E" w:rsidP="00D15F90">
      <w:pPr>
        <w:jc w:val="center"/>
        <w:rPr>
          <w:i/>
          <w:iCs/>
        </w:rPr>
      </w:pPr>
      <w:r w:rsidRPr="00D15F90">
        <w:rPr>
          <w:i/>
          <w:iCs/>
        </w:rPr>
        <w:t>F</w:t>
      </w:r>
      <w:r w:rsidR="00D15F90" w:rsidRPr="00D15F90">
        <w:rPr>
          <w:i/>
          <w:iCs/>
        </w:rPr>
        <w:t>Y</w:t>
      </w:r>
      <w:r w:rsidRPr="00D15F90">
        <w:rPr>
          <w:i/>
          <w:iCs/>
        </w:rPr>
        <w:t>23</w:t>
      </w:r>
      <w:r w:rsidR="00D15F90" w:rsidRPr="00D15F90">
        <w:rPr>
          <w:i/>
          <w:iCs/>
        </w:rPr>
        <w:t>—97%</w:t>
      </w:r>
      <w:r w:rsidR="00437B6A">
        <w:rPr>
          <w:i/>
          <w:iCs/>
        </w:rPr>
        <w:t xml:space="preserve"> overall satisfaction</w:t>
      </w:r>
    </w:p>
    <w:p w14:paraId="4E150ED3" w14:textId="1B60683D" w:rsidR="002B1C61" w:rsidRPr="00D15F90" w:rsidRDefault="009B706F" w:rsidP="00D15F90">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5F9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 EXPLAINED WHAT I NEEDED TO QUALIFY FOR SERVICE</w:t>
      </w:r>
    </w:p>
    <w:p w14:paraId="0D0A591C" w14:textId="77777777" w:rsidR="009B706F" w:rsidRDefault="009B706F"/>
    <w:p w14:paraId="3B57F5C0" w14:textId="59E61BD2" w:rsidR="009B706F" w:rsidRDefault="006D6B12">
      <w:r>
        <w:rPr>
          <w:noProof/>
          <w14:ligatures w14:val="standardContextual"/>
        </w:rPr>
        <w:drawing>
          <wp:inline distT="0" distB="0" distL="0" distR="0" wp14:anchorId="6BC61B22" wp14:editId="0F007ABA">
            <wp:extent cx="6198235" cy="2743200"/>
            <wp:effectExtent l="0" t="0" r="12065" b="0"/>
            <wp:docPr id="89445218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A3E4B9" w14:textId="77777777" w:rsidR="00094226" w:rsidRDefault="00094226"/>
    <w:p w14:paraId="3BED29A1" w14:textId="010494EC" w:rsidR="00094226" w:rsidRPr="00437B6A" w:rsidRDefault="00864D2A" w:rsidP="00437B6A">
      <w:pPr>
        <w:jc w:val="center"/>
        <w:rPr>
          <w:i/>
          <w:iCs/>
        </w:rPr>
      </w:pPr>
      <w:r w:rsidRPr="00437B6A">
        <w:rPr>
          <w:i/>
          <w:iCs/>
        </w:rPr>
        <w:t>FY22—97% overall satisf</w:t>
      </w:r>
      <w:r w:rsidR="00437B6A">
        <w:rPr>
          <w:i/>
          <w:iCs/>
        </w:rPr>
        <w:t>action</w:t>
      </w:r>
    </w:p>
    <w:p w14:paraId="763710FB" w14:textId="494C1E8F" w:rsidR="00864D2A" w:rsidRPr="00437B6A" w:rsidRDefault="00864D2A" w:rsidP="00437B6A">
      <w:pPr>
        <w:jc w:val="center"/>
        <w:rPr>
          <w:i/>
          <w:iCs/>
        </w:rPr>
      </w:pPr>
      <w:r w:rsidRPr="00437B6A">
        <w:rPr>
          <w:i/>
          <w:iCs/>
        </w:rPr>
        <w:t>FY23—98% overall satisf</w:t>
      </w:r>
      <w:r w:rsidR="00437B6A">
        <w:rPr>
          <w:i/>
          <w:iCs/>
        </w:rPr>
        <w:t>action</w:t>
      </w:r>
    </w:p>
    <w:p w14:paraId="2E6F3E96" w14:textId="77777777" w:rsidR="00094226" w:rsidRDefault="00094226"/>
    <w:p w14:paraId="63D994D2" w14:textId="77777777" w:rsidR="005F7937" w:rsidRDefault="005F7937" w:rsidP="00437B6A">
      <w:pPr>
        <w:jc w:val="center"/>
      </w:pPr>
    </w:p>
    <w:p w14:paraId="33AFE4FE" w14:textId="44ED6F74" w:rsidR="00BF7295" w:rsidRPr="00437B6A" w:rsidRDefault="007134CE" w:rsidP="00437B6A">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7B6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STAFF EXPLAINED ALL PAPERWORK TO ME AND ANSWERED MY QUESTIONS</w:t>
      </w:r>
    </w:p>
    <w:p w14:paraId="325B99C9" w14:textId="77777777" w:rsidR="007134CE" w:rsidRDefault="007134CE"/>
    <w:p w14:paraId="76B1C209" w14:textId="37EF6036" w:rsidR="007134CE" w:rsidRDefault="009F2467">
      <w:r>
        <w:rPr>
          <w:noProof/>
          <w14:ligatures w14:val="standardContextual"/>
        </w:rPr>
        <w:drawing>
          <wp:inline distT="0" distB="0" distL="0" distR="0" wp14:anchorId="754AD367" wp14:editId="09F87D91">
            <wp:extent cx="6356350" cy="2628900"/>
            <wp:effectExtent l="0" t="0" r="6350" b="0"/>
            <wp:docPr id="85129852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EF1758" w14:textId="35B40EED" w:rsidR="00BF7295" w:rsidRDefault="00BF7295"/>
    <w:p w14:paraId="1E87D2E0" w14:textId="283F8763" w:rsidR="00BF7295" w:rsidRPr="00437B6A" w:rsidRDefault="00437B6A" w:rsidP="00437B6A">
      <w:pPr>
        <w:jc w:val="center"/>
        <w:rPr>
          <w:i/>
          <w:iCs/>
        </w:rPr>
      </w:pPr>
      <w:r w:rsidRPr="00437B6A">
        <w:rPr>
          <w:i/>
          <w:iCs/>
        </w:rPr>
        <w:t>FY22—97% overall satisfaction</w:t>
      </w:r>
    </w:p>
    <w:p w14:paraId="4567D48F" w14:textId="1E3DB602" w:rsidR="00437B6A" w:rsidRDefault="00437B6A" w:rsidP="00437B6A">
      <w:pPr>
        <w:jc w:val="center"/>
        <w:rPr>
          <w:i/>
          <w:iCs/>
        </w:rPr>
      </w:pPr>
      <w:r w:rsidRPr="00437B6A">
        <w:rPr>
          <w:i/>
          <w:iCs/>
        </w:rPr>
        <w:t>FY23—96% overall satisfaction</w:t>
      </w:r>
    </w:p>
    <w:p w14:paraId="228F57E9" w14:textId="77777777" w:rsidR="008E7F2C" w:rsidRDefault="008E7F2C" w:rsidP="00437B6A">
      <w:pPr>
        <w:jc w:val="center"/>
        <w:rPr>
          <w:i/>
          <w:iCs/>
        </w:rPr>
      </w:pPr>
    </w:p>
    <w:p w14:paraId="6CCE9DF7" w14:textId="77777777" w:rsidR="008E7F2C" w:rsidRPr="00437B6A" w:rsidRDefault="008E7F2C" w:rsidP="00437B6A">
      <w:pPr>
        <w:jc w:val="center"/>
        <w:rPr>
          <w:i/>
          <w:iCs/>
        </w:rPr>
      </w:pPr>
    </w:p>
    <w:p w14:paraId="4EDEB1CD" w14:textId="77777777" w:rsidR="001C4AA2" w:rsidRDefault="001C4AA2" w:rsidP="00437B6A">
      <w:pPr>
        <w:jc w:val="center"/>
      </w:pPr>
    </w:p>
    <w:p w14:paraId="12048EBB" w14:textId="086CBEC1" w:rsidR="004A14FF" w:rsidRDefault="004A14FF" w:rsidP="00437B6A">
      <w:pPr>
        <w:jc w:val="center"/>
      </w:pPr>
      <w:r w:rsidRPr="00437B6A">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 TOLD ME ABOUT OTHER SMCAA PROGRAMS THAT MIGHT BE HELPFUL TO ME</w:t>
      </w:r>
    </w:p>
    <w:p w14:paraId="5FCAF3C0" w14:textId="5E3AC12D" w:rsidR="00013492" w:rsidRDefault="00013492"/>
    <w:p w14:paraId="00DCC9E9" w14:textId="346E70C6" w:rsidR="005A4F52" w:rsidRDefault="004C3711">
      <w:r>
        <w:rPr>
          <w:noProof/>
          <w14:ligatures w14:val="standardContextual"/>
        </w:rPr>
        <w:drawing>
          <wp:inline distT="0" distB="0" distL="0" distR="0" wp14:anchorId="0BE936E5" wp14:editId="52B0CB25">
            <wp:extent cx="6251713" cy="2862470"/>
            <wp:effectExtent l="0" t="0" r="15875" b="14605"/>
            <wp:docPr id="142650351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51E23A" w14:textId="77777777" w:rsidR="004D5378" w:rsidRPr="003C12B9" w:rsidRDefault="004D5378" w:rsidP="003C12B9">
      <w:pPr>
        <w:jc w:val="center"/>
        <w:rPr>
          <w:i/>
          <w:iCs/>
        </w:rPr>
      </w:pPr>
    </w:p>
    <w:p w14:paraId="60F44245" w14:textId="5B1098F0" w:rsidR="004D5378" w:rsidRPr="003C12B9" w:rsidRDefault="003C12B9" w:rsidP="003C12B9">
      <w:pPr>
        <w:jc w:val="center"/>
        <w:rPr>
          <w:i/>
          <w:iCs/>
        </w:rPr>
      </w:pPr>
      <w:r w:rsidRPr="003C12B9">
        <w:rPr>
          <w:i/>
          <w:iCs/>
        </w:rPr>
        <w:t>FY22—89% overall satisfaction</w:t>
      </w:r>
    </w:p>
    <w:p w14:paraId="66D4F7C2" w14:textId="05543396" w:rsidR="003C12B9" w:rsidRPr="003C12B9" w:rsidRDefault="003C12B9" w:rsidP="003C12B9">
      <w:pPr>
        <w:jc w:val="center"/>
        <w:rPr>
          <w:i/>
          <w:iCs/>
        </w:rPr>
      </w:pPr>
      <w:r w:rsidRPr="003C12B9">
        <w:rPr>
          <w:i/>
          <w:iCs/>
        </w:rPr>
        <w:t>FY23—92% overall satisfaction</w:t>
      </w:r>
    </w:p>
    <w:p w14:paraId="213C89B2" w14:textId="590BD432" w:rsidR="00013492" w:rsidRDefault="00013492"/>
    <w:p w14:paraId="58DBED4A" w14:textId="44603A76" w:rsidR="00013492" w:rsidRPr="003C12B9" w:rsidRDefault="000D2CA6" w:rsidP="003C12B9">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12B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STAFF GAVE ME INFORMATION ABOUT OTHER PROGRAMS OUTSIDE OF SMCAA THAT MIGHT BE HELPFUL TO ME, INCLUDING HOW TO CONTACT THOSE OTHER PROGRAMS</w:t>
      </w:r>
    </w:p>
    <w:p w14:paraId="24F06D1D" w14:textId="77777777" w:rsidR="000D2CA6" w:rsidRDefault="000D2CA6"/>
    <w:p w14:paraId="505B86B0" w14:textId="4EC9BDD4" w:rsidR="000D2CA6" w:rsidRDefault="004B7712">
      <w:r>
        <w:rPr>
          <w:noProof/>
          <w14:ligatures w14:val="standardContextual"/>
        </w:rPr>
        <w:drawing>
          <wp:inline distT="0" distB="0" distL="0" distR="0" wp14:anchorId="2C8452A5" wp14:editId="598FC649">
            <wp:extent cx="6277610" cy="3042138"/>
            <wp:effectExtent l="0" t="0" r="8890" b="6350"/>
            <wp:docPr id="24844609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5015CCF" w14:textId="77777777" w:rsidR="00013492" w:rsidRDefault="00013492"/>
    <w:p w14:paraId="5FD4BFB2" w14:textId="77777777" w:rsidR="001C4AA2" w:rsidRDefault="00100421" w:rsidP="00100421">
      <w:pPr>
        <w:jc w:val="center"/>
        <w:rPr>
          <w:i/>
          <w:iCs/>
        </w:rPr>
      </w:pPr>
      <w:r w:rsidRPr="00100421">
        <w:rPr>
          <w:i/>
          <w:iCs/>
        </w:rPr>
        <w:t>FY22—87% overall satisfaction</w:t>
      </w:r>
    </w:p>
    <w:p w14:paraId="26085CEB" w14:textId="70BDA243" w:rsidR="002B1C61" w:rsidRPr="009D714C" w:rsidRDefault="00100421" w:rsidP="009D714C">
      <w:pPr>
        <w:jc w:val="center"/>
        <w:rPr>
          <w:i/>
          <w:iCs/>
        </w:rPr>
      </w:pPr>
      <w:r w:rsidRPr="00100421">
        <w:rPr>
          <w:i/>
          <w:iCs/>
        </w:rPr>
        <w:t>FY23—89% overall satisfaction</w:t>
      </w:r>
    </w:p>
    <w:p w14:paraId="4EFD3076" w14:textId="6118CAA8" w:rsidR="00DD413A" w:rsidRPr="009D464F" w:rsidRDefault="00001FE4" w:rsidP="00DD413A">
      <w:pPr>
        <w:shd w:val="clear" w:color="auto" w:fill="4472C4" w:themeFill="accent1"/>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POSITIVE </w:t>
      </w:r>
      <w:r w:rsidR="00DD413A">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 COMMENTS</w:t>
      </w:r>
    </w:p>
    <w:p w14:paraId="5CAC8BE8" w14:textId="77777777" w:rsidR="00BB2E47" w:rsidRDefault="00BB2E47"/>
    <w:p w14:paraId="35797B76" w14:textId="0AB0C4DF" w:rsidR="002D581B" w:rsidRDefault="006A0F8F">
      <w:r>
        <w:t xml:space="preserve">Of the 65 comments, 56 (86%) were unarguably positive. Positive feedback overwhelmingly </w:t>
      </w:r>
      <w:r w:rsidR="00970653">
        <w:t xml:space="preserve">and naturally </w:t>
      </w:r>
      <w:r w:rsidR="00AB59E8">
        <w:t>grouped</w:t>
      </w:r>
      <w:r>
        <w:t xml:space="preserve"> into 3 categories—o</w:t>
      </w:r>
      <w:r w:rsidR="00764DC1">
        <w:t>verall thanks, a</w:t>
      </w:r>
      <w:r w:rsidR="002D581B">
        <w:t>cknowledgement and appreciation for staff, and praise of service.</w:t>
      </w:r>
      <w:r w:rsidR="00997EB4">
        <w:t xml:space="preserve"> </w:t>
      </w:r>
    </w:p>
    <w:p w14:paraId="6B7B10A2" w14:textId="77777777" w:rsidR="002D581B" w:rsidRDefault="002D581B"/>
    <w:p w14:paraId="166A747A" w14:textId="77777777" w:rsidR="00977AB9" w:rsidRPr="00B34A86" w:rsidRDefault="002D581B" w:rsidP="00B34A86">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A8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THANKS</w:t>
      </w:r>
    </w:p>
    <w:p w14:paraId="5286D3AA" w14:textId="77777777" w:rsidR="00B34A86" w:rsidRPr="00B34A86" w:rsidRDefault="00B34A86" w:rsidP="00B34A86">
      <w:pPr>
        <w:spacing w:after="160"/>
        <w:rPr>
          <w:kern w:val="2"/>
          <w14:ligatures w14:val="standardContextual"/>
        </w:rPr>
      </w:pPr>
      <w:r w:rsidRPr="00B34A86">
        <w:rPr>
          <w:kern w:val="2"/>
          <w14:ligatures w14:val="standardContextual"/>
        </w:rPr>
        <w:t>“Just want to say thank you for your help, my husband had just passed away and I didn’t have money to pay rent that next month. You saved me so I still have a place to live.”</w:t>
      </w:r>
    </w:p>
    <w:p w14:paraId="17541BBA" w14:textId="77777777" w:rsidR="00B34A86" w:rsidRPr="00B34A86" w:rsidRDefault="00B34A86" w:rsidP="00B34A86">
      <w:pPr>
        <w:spacing w:after="160"/>
        <w:rPr>
          <w:kern w:val="2"/>
          <w14:ligatures w14:val="standardContextual"/>
        </w:rPr>
      </w:pPr>
      <w:r w:rsidRPr="00B34A86">
        <w:rPr>
          <w:kern w:val="2"/>
          <w14:ligatures w14:val="standardContextual"/>
        </w:rPr>
        <w:t>“SMCAA was very helpful to me I just want to say thank you from the bottom of my heart, thank you so much.”</w:t>
      </w:r>
    </w:p>
    <w:p w14:paraId="0DA74BC0" w14:textId="1DAF1A2A" w:rsidR="00B34A86" w:rsidRPr="00B34A86" w:rsidRDefault="00B34A86" w:rsidP="006A0F8F">
      <w:pPr>
        <w:spacing w:after="160"/>
        <w:rPr>
          <w:kern w:val="2"/>
          <w14:ligatures w14:val="standardContextual"/>
        </w:rPr>
      </w:pPr>
      <w:r w:rsidRPr="00B34A86">
        <w:rPr>
          <w:kern w:val="2"/>
          <w14:ligatures w14:val="standardContextual"/>
        </w:rPr>
        <w:t>“Thank you so much for the help I couldn’t have done it without you.”</w:t>
      </w:r>
    </w:p>
    <w:p w14:paraId="04D87B69" w14:textId="77777777" w:rsidR="006A0F8F" w:rsidRDefault="00B34A86" w:rsidP="006A0F8F">
      <w:pPr>
        <w:spacing w:after="160"/>
        <w:rPr>
          <w:kern w:val="2"/>
          <w14:ligatures w14:val="standardContextual"/>
        </w:rPr>
      </w:pPr>
      <w:r w:rsidRPr="00B34A86">
        <w:rPr>
          <w:kern w:val="2"/>
          <w14:ligatures w14:val="standardContextual"/>
        </w:rPr>
        <w:t>“Thank you so much for your help, I’ve never had to ask for help and I’m 76 years old. But I’m so glad you helped me.”</w:t>
      </w:r>
    </w:p>
    <w:p w14:paraId="7C29D6D4" w14:textId="21819FB4" w:rsidR="00B34A86" w:rsidRPr="00B34A86" w:rsidRDefault="00B34A86" w:rsidP="00DA411F">
      <w:pPr>
        <w:spacing w:after="160"/>
        <w:jc w:val="center"/>
        <w:rPr>
          <w:kern w:val="2"/>
          <w14:ligatures w14:val="standardContextual"/>
        </w:rPr>
      </w:pPr>
      <w:r w:rsidRPr="00B34A86">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STAFF ACKNOWLEDGMENT AND APPRECIATION</w:t>
      </w:r>
    </w:p>
    <w:p w14:paraId="5B4836C6" w14:textId="77777777" w:rsidR="00A505A6" w:rsidRPr="00A505A6" w:rsidRDefault="00A505A6" w:rsidP="00A505A6">
      <w:pPr>
        <w:spacing w:after="160"/>
        <w:rPr>
          <w:kern w:val="2"/>
          <w14:ligatures w14:val="standardContextual"/>
        </w:rPr>
      </w:pPr>
      <w:r w:rsidRPr="00A505A6">
        <w:rPr>
          <w:kern w:val="2"/>
          <w14:ligatures w14:val="standardContextual"/>
        </w:rPr>
        <w:t>“I really appreciate the ladies at SMCAA. Very helpful, thoughtful, always help me and my family when in need. Thanks so much.”</w:t>
      </w:r>
    </w:p>
    <w:p w14:paraId="7C6A38F8" w14:textId="77777777" w:rsidR="00A505A6" w:rsidRPr="00A505A6" w:rsidRDefault="00A505A6" w:rsidP="00A505A6">
      <w:pPr>
        <w:spacing w:after="160"/>
        <w:rPr>
          <w:kern w:val="2"/>
          <w14:ligatures w14:val="standardContextual"/>
        </w:rPr>
      </w:pPr>
      <w:r w:rsidRPr="00A505A6">
        <w:rPr>
          <w:kern w:val="2"/>
          <w14:ligatures w14:val="standardContextual"/>
        </w:rPr>
        <w:lastRenderedPageBreak/>
        <w:t>“Staff answered all my questions and explained everything thoroughly. They were very friendly and professional. Nathan has always been helpful from the start of the application.”</w:t>
      </w:r>
    </w:p>
    <w:p w14:paraId="121889A4" w14:textId="77777777" w:rsidR="00A505A6" w:rsidRPr="00A505A6" w:rsidRDefault="00A505A6" w:rsidP="00A505A6">
      <w:pPr>
        <w:spacing w:after="160"/>
        <w:rPr>
          <w:kern w:val="2"/>
          <w14:ligatures w14:val="standardContextual"/>
        </w:rPr>
      </w:pPr>
      <w:r w:rsidRPr="00A505A6">
        <w:rPr>
          <w:kern w:val="2"/>
          <w14:ligatures w14:val="standardContextual"/>
        </w:rPr>
        <w:t>“Jeremy has made my family crisis situation less stressful. I would like to help if you have any questions.”</w:t>
      </w:r>
    </w:p>
    <w:p w14:paraId="372AD9B7" w14:textId="77777777" w:rsidR="00A505A6" w:rsidRPr="00A505A6" w:rsidRDefault="00A505A6" w:rsidP="00A505A6">
      <w:pPr>
        <w:spacing w:after="160"/>
        <w:rPr>
          <w:kern w:val="2"/>
          <w14:ligatures w14:val="standardContextual"/>
        </w:rPr>
      </w:pPr>
      <w:r w:rsidRPr="00A505A6">
        <w:rPr>
          <w:kern w:val="2"/>
          <w14:ligatures w14:val="standardContextual"/>
        </w:rPr>
        <w:t>“Tammy was very understanding and did everything to help me in my time of need. She also encouraged me to stay strong while going through my child loss.”</w:t>
      </w:r>
    </w:p>
    <w:p w14:paraId="01EF1375" w14:textId="11D9ABAF" w:rsidR="00A505A6" w:rsidRPr="00A505A6" w:rsidRDefault="00A505A6" w:rsidP="00A505A6">
      <w:pPr>
        <w:spacing w:after="160"/>
        <w:rPr>
          <w:kern w:val="2"/>
          <w14:ligatures w14:val="standardContextual"/>
        </w:rPr>
      </w:pPr>
      <w:r w:rsidRPr="00A505A6">
        <w:rPr>
          <w:kern w:val="2"/>
          <w14:ligatures w14:val="standardContextual"/>
        </w:rPr>
        <w:t>“Both Berrien location office workers were very</w:t>
      </w:r>
      <w:r w:rsidR="001C7FDF">
        <w:rPr>
          <w:kern w:val="2"/>
          <w14:ligatures w14:val="standardContextual"/>
        </w:rPr>
        <w:t xml:space="preserve">, </w:t>
      </w:r>
      <w:r w:rsidRPr="00A505A6">
        <w:rPr>
          <w:kern w:val="2"/>
          <w14:ligatures w14:val="standardContextual"/>
        </w:rPr>
        <w:t>very nice and kind, they were awesome. I felt the warmth and I was not afraid to express my situation.”</w:t>
      </w:r>
    </w:p>
    <w:p w14:paraId="4BCA180A" w14:textId="77777777" w:rsidR="00A505A6" w:rsidRPr="00A505A6" w:rsidRDefault="00A505A6" w:rsidP="00A505A6">
      <w:pPr>
        <w:spacing w:after="160"/>
        <w:rPr>
          <w:kern w:val="2"/>
          <w14:ligatures w14:val="standardContextual"/>
        </w:rPr>
      </w:pPr>
      <w:r w:rsidRPr="00A505A6">
        <w:rPr>
          <w:kern w:val="2"/>
          <w14:ligatures w14:val="standardContextual"/>
        </w:rPr>
        <w:t>“Staff went above and beyond to help me get documents in order and fill out paperwork to get help. They care and they are great at their jobs!”</w:t>
      </w:r>
    </w:p>
    <w:p w14:paraId="2F7A05EA" w14:textId="69C54E20" w:rsidR="00A505A6" w:rsidRPr="00A505A6" w:rsidRDefault="00A505A6" w:rsidP="001C7FDF">
      <w:pPr>
        <w:spacing w:after="160"/>
        <w:rPr>
          <w:kern w:val="2"/>
          <w14:ligatures w14:val="standardContextual"/>
        </w:rPr>
      </w:pPr>
      <w:r w:rsidRPr="00A505A6">
        <w:rPr>
          <w:kern w:val="2"/>
          <w14:ligatures w14:val="standardContextual"/>
        </w:rPr>
        <w:t>“The people were so nice and helpful and I think this place is an awesome place and beneficial to the area.”</w:t>
      </w:r>
    </w:p>
    <w:p w14:paraId="7741BD31" w14:textId="77777777" w:rsidR="00A505A6" w:rsidRPr="00A505A6" w:rsidRDefault="00A505A6" w:rsidP="00A505A6">
      <w:pPr>
        <w:spacing w:after="160"/>
        <w:rPr>
          <w:kern w:val="2"/>
          <w14:ligatures w14:val="standardContextual"/>
        </w:rPr>
      </w:pPr>
      <w:r w:rsidRPr="00A505A6">
        <w:rPr>
          <w:kern w:val="2"/>
          <w14:ligatures w14:val="standardContextual"/>
        </w:rPr>
        <w:t>“My worker was Tammy Stanton, she worked with me to the end. She lent a listening ear on my first day I called. She is a great worker, caring and understanding person.”</w:t>
      </w:r>
    </w:p>
    <w:p w14:paraId="26821E80" w14:textId="77777777" w:rsidR="00A505A6" w:rsidRDefault="00A505A6" w:rsidP="00A505A6">
      <w:pPr>
        <w:spacing w:after="160"/>
        <w:rPr>
          <w:kern w:val="2"/>
          <w14:ligatures w14:val="standardContextual"/>
        </w:rPr>
      </w:pPr>
      <w:r w:rsidRPr="00A505A6">
        <w:rPr>
          <w:kern w:val="2"/>
          <w14:ligatures w14:val="standardContextual"/>
        </w:rPr>
        <w:t>“Over and above Anne was a pleasure, very helpful in every way. Thank you so much.”</w:t>
      </w:r>
    </w:p>
    <w:p w14:paraId="039D880B" w14:textId="748B1855" w:rsidR="0002326A" w:rsidRDefault="00FA4ACF" w:rsidP="00970653">
      <w:pPr>
        <w:spacing w:after="160"/>
        <w:rPr>
          <w:kern w:val="2"/>
          <w14:ligatures w14:val="standardContextual"/>
        </w:rPr>
      </w:pPr>
      <w:r>
        <w:rPr>
          <w:kern w:val="2"/>
          <w14:ligatures w14:val="standardContextual"/>
        </w:rPr>
        <w:t>“Ms. Johnson is absolutely amazing, and I hope she is appreciated for the amazing, passionate, and compassionate person she is. Thank you so much.”</w:t>
      </w:r>
    </w:p>
    <w:p w14:paraId="16313E82" w14:textId="7DFCDBEC" w:rsidR="00024EA2" w:rsidRDefault="00024EA2" w:rsidP="00A505A6">
      <w:pPr>
        <w:spacing w:after="160"/>
        <w:rPr>
          <w:kern w:val="2"/>
          <w14:ligatures w14:val="standardContextual"/>
        </w:rPr>
      </w:pPr>
      <w:r>
        <w:rPr>
          <w:kern w:val="2"/>
          <w14:ligatures w14:val="standardContextual"/>
        </w:rPr>
        <w:t>“Great listener and very courteous! Sarah is great at what she does!”</w:t>
      </w:r>
    </w:p>
    <w:p w14:paraId="63B29A7A" w14:textId="7611D582" w:rsidR="002C32BD" w:rsidRDefault="002C32BD" w:rsidP="00A505A6">
      <w:pPr>
        <w:spacing w:after="160"/>
        <w:rPr>
          <w:kern w:val="2"/>
          <w14:ligatures w14:val="standardContextual"/>
        </w:rPr>
      </w:pPr>
      <w:r>
        <w:rPr>
          <w:kern w:val="2"/>
          <w14:ligatures w14:val="standardContextual"/>
        </w:rPr>
        <w:t>“Terry is absolutely the best and nicest person I have met. She is sweet and does her job well.”</w:t>
      </w:r>
    </w:p>
    <w:p w14:paraId="67BDE363" w14:textId="1C57EBEB" w:rsidR="006B6064" w:rsidRPr="00A505A6" w:rsidRDefault="006B6064" w:rsidP="00A505A6">
      <w:pPr>
        <w:spacing w:after="160"/>
        <w:rPr>
          <w:kern w:val="2"/>
          <w14:ligatures w14:val="standardContextual"/>
        </w:rPr>
      </w:pPr>
      <w:r>
        <w:rPr>
          <w:kern w:val="2"/>
          <w14:ligatures w14:val="standardContextual"/>
        </w:rPr>
        <w:t>“Nathan is very helpful and personable. I have not received services yet, only the application/intake.”</w:t>
      </w:r>
    </w:p>
    <w:p w14:paraId="6E1CE94F" w14:textId="6EA53B0F" w:rsidR="002B1C61" w:rsidRPr="00A505A6" w:rsidRDefault="00A505A6" w:rsidP="00A505A6">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05A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SERVICE</w:t>
      </w:r>
    </w:p>
    <w:p w14:paraId="455B0DFB" w14:textId="2CA502BF" w:rsidR="002B1C61" w:rsidRDefault="002B1C61"/>
    <w:p w14:paraId="76932875" w14:textId="77777777" w:rsidR="00091BEF" w:rsidRPr="00091BEF" w:rsidRDefault="00091BEF" w:rsidP="00091BEF">
      <w:pPr>
        <w:spacing w:after="160"/>
        <w:rPr>
          <w:kern w:val="2"/>
          <w14:ligatures w14:val="standardContextual"/>
        </w:rPr>
      </w:pPr>
      <w:r w:rsidRPr="00091BEF">
        <w:rPr>
          <w:kern w:val="2"/>
          <w14:ligatures w14:val="standardContextual"/>
        </w:rPr>
        <w:t>“SMCAA helped me when I needed it the most.”</w:t>
      </w:r>
    </w:p>
    <w:p w14:paraId="0684059F" w14:textId="77777777" w:rsidR="00091BEF" w:rsidRPr="00091BEF" w:rsidRDefault="00091BEF" w:rsidP="00091BEF">
      <w:pPr>
        <w:spacing w:after="160"/>
        <w:rPr>
          <w:kern w:val="2"/>
          <w14:ligatures w14:val="standardContextual"/>
        </w:rPr>
      </w:pPr>
      <w:r w:rsidRPr="00091BEF">
        <w:rPr>
          <w:kern w:val="2"/>
          <w14:ligatures w14:val="standardContextual"/>
        </w:rPr>
        <w:t>“Done an excellent job for me so far.”</w:t>
      </w:r>
    </w:p>
    <w:p w14:paraId="11D854A5" w14:textId="77777777" w:rsidR="00091BEF" w:rsidRPr="00091BEF" w:rsidRDefault="00091BEF" w:rsidP="00091BEF">
      <w:pPr>
        <w:spacing w:after="160"/>
        <w:rPr>
          <w:kern w:val="2"/>
          <w14:ligatures w14:val="standardContextual"/>
        </w:rPr>
      </w:pPr>
      <w:r w:rsidRPr="00091BEF">
        <w:rPr>
          <w:kern w:val="2"/>
          <w14:ligatures w14:val="standardContextual"/>
        </w:rPr>
        <w:t>“Overall quick fast and friendly services.”</w:t>
      </w:r>
    </w:p>
    <w:p w14:paraId="2C4E930F" w14:textId="77777777" w:rsidR="00091BEF" w:rsidRPr="00091BEF" w:rsidRDefault="00091BEF" w:rsidP="00091BEF">
      <w:pPr>
        <w:spacing w:after="160"/>
        <w:rPr>
          <w:kern w:val="2"/>
          <w14:ligatures w14:val="standardContextual"/>
        </w:rPr>
      </w:pPr>
      <w:r w:rsidRPr="00091BEF">
        <w:rPr>
          <w:kern w:val="2"/>
          <w14:ligatures w14:val="standardContextual"/>
        </w:rPr>
        <w:t>“Was very pleased with the service, I needed help and they helped me stay in my home.”</w:t>
      </w:r>
    </w:p>
    <w:p w14:paraId="5D6C81C9" w14:textId="77777777" w:rsidR="00091BEF" w:rsidRPr="00091BEF" w:rsidRDefault="00091BEF" w:rsidP="00091BEF">
      <w:pPr>
        <w:spacing w:after="160"/>
        <w:rPr>
          <w:kern w:val="2"/>
          <w14:ligatures w14:val="standardContextual"/>
        </w:rPr>
      </w:pPr>
      <w:r w:rsidRPr="00091BEF">
        <w:rPr>
          <w:kern w:val="2"/>
          <w14:ligatures w14:val="standardContextual"/>
        </w:rPr>
        <w:t>“Very timely and professional service. Communication and follow up was exceptional.”</w:t>
      </w:r>
    </w:p>
    <w:p w14:paraId="26BBE5F8" w14:textId="77777777" w:rsidR="00091BEF" w:rsidRPr="00091BEF" w:rsidRDefault="00091BEF" w:rsidP="00091BEF">
      <w:pPr>
        <w:spacing w:after="160"/>
        <w:rPr>
          <w:kern w:val="2"/>
          <w14:ligatures w14:val="standardContextual"/>
        </w:rPr>
      </w:pPr>
      <w:r w:rsidRPr="00091BEF">
        <w:rPr>
          <w:kern w:val="2"/>
          <w14:ligatures w14:val="standardContextual"/>
        </w:rPr>
        <w:t>“The service was very helpful without the help I would be out of electric, so thanks for all the help.”</w:t>
      </w:r>
    </w:p>
    <w:p w14:paraId="11722ECB" w14:textId="77777777" w:rsidR="00091BEF" w:rsidRDefault="00091BEF" w:rsidP="00091BEF">
      <w:pPr>
        <w:spacing w:after="160"/>
        <w:rPr>
          <w:kern w:val="2"/>
          <w14:ligatures w14:val="standardContextual"/>
        </w:rPr>
      </w:pPr>
      <w:r w:rsidRPr="00091BEF">
        <w:rPr>
          <w:kern w:val="2"/>
          <w14:ligatures w14:val="standardContextual"/>
        </w:rPr>
        <w:t>“Things were done in a timely manner. I was very pleased overall.”</w:t>
      </w:r>
    </w:p>
    <w:p w14:paraId="49BF577E" w14:textId="77777777" w:rsidR="00AB59E8" w:rsidRDefault="00AB59E8" w:rsidP="00AB59E8"/>
    <w:p w14:paraId="4C8C697E" w14:textId="18DB2531" w:rsidR="00AB59E8" w:rsidRPr="009D464F" w:rsidRDefault="00AB59E8" w:rsidP="00AB59E8">
      <w:pPr>
        <w:shd w:val="clear" w:color="auto" w:fill="4472C4" w:themeFill="accent1"/>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COMMENTS ON AREAS FOR IMPROVEMENT</w:t>
      </w:r>
    </w:p>
    <w:p w14:paraId="1CD2B887" w14:textId="77777777" w:rsidR="006A6581" w:rsidRDefault="006A6581" w:rsidP="00F43D87">
      <w:pPr>
        <w:spacing w:after="160"/>
        <w:rPr>
          <w:kern w:val="2"/>
          <w14:ligatures w14:val="standardContextual"/>
        </w:rPr>
      </w:pPr>
    </w:p>
    <w:p w14:paraId="01B4413D" w14:textId="617E70CC" w:rsidR="00F43D87" w:rsidRDefault="00AB6867" w:rsidP="00F43D87">
      <w:pPr>
        <w:spacing w:after="160"/>
        <w:rPr>
          <w:kern w:val="2"/>
          <w14:ligatures w14:val="standardContextual"/>
        </w:rPr>
      </w:pPr>
      <w:r>
        <w:rPr>
          <w:kern w:val="2"/>
          <w14:ligatures w14:val="standardContextual"/>
        </w:rPr>
        <w:t>Only 9 comments of the 65 (</w:t>
      </w:r>
      <w:r w:rsidR="00A32A78">
        <w:rPr>
          <w:kern w:val="2"/>
          <w14:ligatures w14:val="standardContextual"/>
        </w:rPr>
        <w:t>14%) could be considered non-positive</w:t>
      </w:r>
      <w:r w:rsidR="00D416EA">
        <w:rPr>
          <w:kern w:val="2"/>
          <w14:ligatures w14:val="standardContextual"/>
        </w:rPr>
        <w:t xml:space="preserve"> </w:t>
      </w:r>
      <w:r w:rsidR="006A6581">
        <w:rPr>
          <w:kern w:val="2"/>
          <w14:ligatures w14:val="standardContextual"/>
        </w:rPr>
        <w:t>(</w:t>
      </w:r>
      <w:r w:rsidR="004532B9">
        <w:rPr>
          <w:kern w:val="2"/>
          <w14:ligatures w14:val="standardContextual"/>
        </w:rPr>
        <w:t xml:space="preserve">i.e. </w:t>
      </w:r>
      <w:r w:rsidR="006A6581">
        <w:rPr>
          <w:kern w:val="2"/>
          <w14:ligatures w14:val="standardContextual"/>
        </w:rPr>
        <w:t>negative</w:t>
      </w:r>
      <w:r w:rsidR="004532B9">
        <w:rPr>
          <w:kern w:val="2"/>
          <w14:ligatures w14:val="standardContextual"/>
        </w:rPr>
        <w:t xml:space="preserve"> </w:t>
      </w:r>
      <w:r w:rsidR="006A6581">
        <w:rPr>
          <w:kern w:val="2"/>
          <w14:ligatures w14:val="standardContextual"/>
        </w:rPr>
        <w:t xml:space="preserve">or </w:t>
      </w:r>
      <w:r w:rsidR="00D416EA">
        <w:rPr>
          <w:kern w:val="2"/>
          <w14:ligatures w14:val="standardContextual"/>
        </w:rPr>
        <w:t>neutral</w:t>
      </w:r>
      <w:r w:rsidR="006A6581">
        <w:rPr>
          <w:kern w:val="2"/>
          <w14:ligatures w14:val="standardContextual"/>
        </w:rPr>
        <w:t>)</w:t>
      </w:r>
      <w:r w:rsidR="00D416EA">
        <w:rPr>
          <w:kern w:val="2"/>
          <w14:ligatures w14:val="standardContextual"/>
        </w:rPr>
        <w:t xml:space="preserve">. </w:t>
      </w:r>
    </w:p>
    <w:p w14:paraId="1EC98BC0" w14:textId="3628536B" w:rsidR="00ED6357" w:rsidRPr="00257141" w:rsidRDefault="00F43D87" w:rsidP="00257141">
      <w:pPr>
        <w:pStyle w:val="ListParagraph"/>
        <w:numPr>
          <w:ilvl w:val="0"/>
          <w:numId w:val="11"/>
        </w:numPr>
        <w:spacing w:after="160"/>
        <w:rPr>
          <w:kern w:val="2"/>
          <w14:ligatures w14:val="standardContextual"/>
        </w:rPr>
      </w:pPr>
      <w:r w:rsidRPr="00257141">
        <w:rPr>
          <w:kern w:val="2"/>
          <w14:ligatures w14:val="standardContextual"/>
        </w:rPr>
        <w:lastRenderedPageBreak/>
        <w:t>“It would be nice to see a list of available assistance programs including what things each agency can help with and what income limits if any will keep a person from getting help.”</w:t>
      </w:r>
    </w:p>
    <w:p w14:paraId="507F9E4C" w14:textId="63F0BE7D" w:rsidR="00D416EA" w:rsidRPr="00257141" w:rsidRDefault="00ED6357" w:rsidP="00FA711C">
      <w:pPr>
        <w:spacing w:after="160"/>
        <w:ind w:left="360"/>
        <w:rPr>
          <w:i/>
          <w:iCs/>
          <w:color w:val="5B9BD5" w:themeColor="accent5"/>
          <w:kern w:val="2"/>
          <w14:ligatures w14:val="standardContextual"/>
        </w:rPr>
      </w:pPr>
      <w:r w:rsidRPr="00257141">
        <w:rPr>
          <w:i/>
          <w:iCs/>
          <w:color w:val="5B9BD5" w:themeColor="accent5"/>
          <w:kern w:val="2"/>
          <w14:ligatures w14:val="standardContextual"/>
        </w:rPr>
        <w:t>Information for partner agency programs is available</w:t>
      </w:r>
      <w:r w:rsidR="0058159D" w:rsidRPr="00257141">
        <w:rPr>
          <w:i/>
          <w:iCs/>
          <w:color w:val="5B9BD5" w:themeColor="accent5"/>
          <w:kern w:val="2"/>
          <w14:ligatures w14:val="standardContextual"/>
        </w:rPr>
        <w:t xml:space="preserve"> in detail</w:t>
      </w:r>
      <w:r w:rsidRPr="00257141">
        <w:rPr>
          <w:i/>
          <w:iCs/>
          <w:color w:val="5B9BD5" w:themeColor="accent5"/>
          <w:kern w:val="2"/>
          <w14:ligatures w14:val="standardContextual"/>
        </w:rPr>
        <w:t xml:space="preserve"> on our website, and would be too lengthy to include in intake</w:t>
      </w:r>
      <w:r w:rsidR="0058159D" w:rsidRPr="00257141">
        <w:rPr>
          <w:i/>
          <w:iCs/>
          <w:color w:val="5B9BD5" w:themeColor="accent5"/>
          <w:kern w:val="2"/>
          <w14:ligatures w14:val="standardContextual"/>
        </w:rPr>
        <w:t xml:space="preserve"> procedures</w:t>
      </w:r>
      <w:r w:rsidRPr="00257141">
        <w:rPr>
          <w:i/>
          <w:iCs/>
          <w:color w:val="5B9BD5" w:themeColor="accent5"/>
          <w:kern w:val="2"/>
          <w14:ligatures w14:val="standardContextual"/>
        </w:rPr>
        <w:t xml:space="preserve">. </w:t>
      </w:r>
      <w:r w:rsidR="0058159D" w:rsidRPr="00257141">
        <w:rPr>
          <w:i/>
          <w:iCs/>
          <w:color w:val="5B9BD5" w:themeColor="accent5"/>
          <w:kern w:val="2"/>
          <w14:ligatures w14:val="standardContextual"/>
        </w:rPr>
        <w:t>Qualifications for these many programs</w:t>
      </w:r>
      <w:r w:rsidRPr="00257141">
        <w:rPr>
          <w:i/>
          <w:iCs/>
          <w:color w:val="5B9BD5" w:themeColor="accent5"/>
          <w:kern w:val="2"/>
          <w14:ligatures w14:val="standardContextual"/>
        </w:rPr>
        <w:t xml:space="preserve"> are not something that SMCAA would have access to</w:t>
      </w:r>
      <w:r w:rsidR="00F11772">
        <w:rPr>
          <w:i/>
          <w:iCs/>
          <w:color w:val="5B9BD5" w:themeColor="accent5"/>
          <w:kern w:val="2"/>
          <w14:ligatures w14:val="standardContextual"/>
        </w:rPr>
        <w:t>,</w:t>
      </w:r>
      <w:r w:rsidRPr="00257141">
        <w:rPr>
          <w:i/>
          <w:iCs/>
          <w:color w:val="5B9BD5" w:themeColor="accent5"/>
          <w:kern w:val="2"/>
          <w14:ligatures w14:val="standardContextual"/>
        </w:rPr>
        <w:t xml:space="preserve"> or be able to provide</w:t>
      </w:r>
      <w:r w:rsidR="0058159D" w:rsidRPr="00257141">
        <w:rPr>
          <w:i/>
          <w:iCs/>
          <w:color w:val="5B9BD5" w:themeColor="accent5"/>
          <w:kern w:val="2"/>
          <w14:ligatures w14:val="standardContextual"/>
        </w:rPr>
        <w:t xml:space="preserve"> our clients</w:t>
      </w:r>
      <w:r w:rsidRPr="00257141">
        <w:rPr>
          <w:i/>
          <w:iCs/>
          <w:color w:val="5B9BD5" w:themeColor="accent5"/>
          <w:kern w:val="2"/>
          <w14:ligatures w14:val="standardContextual"/>
        </w:rPr>
        <w:t xml:space="preserve"> in many cases. However, this comment does provide some insight into how we can be more transparent about</w:t>
      </w:r>
      <w:r w:rsidR="004532B9" w:rsidRPr="00257141">
        <w:rPr>
          <w:i/>
          <w:iCs/>
          <w:color w:val="5B9BD5" w:themeColor="accent5"/>
          <w:kern w:val="2"/>
          <w14:ligatures w14:val="standardContextual"/>
        </w:rPr>
        <w:t xml:space="preserve"> sharing and directing clients toward</w:t>
      </w:r>
      <w:r w:rsidR="002216EE" w:rsidRPr="00257141">
        <w:rPr>
          <w:i/>
          <w:iCs/>
          <w:color w:val="5B9BD5" w:themeColor="accent5"/>
          <w:kern w:val="2"/>
          <w14:ligatures w14:val="standardContextual"/>
        </w:rPr>
        <w:t xml:space="preserve"> </w:t>
      </w:r>
      <w:r w:rsidRPr="00257141">
        <w:rPr>
          <w:i/>
          <w:iCs/>
          <w:color w:val="5B9BD5" w:themeColor="accent5"/>
          <w:kern w:val="2"/>
          <w14:ligatures w14:val="standardContextual"/>
        </w:rPr>
        <w:t>other available resources.</w:t>
      </w:r>
    </w:p>
    <w:p w14:paraId="2DE46A4D" w14:textId="3A841E40" w:rsidR="00F43D87" w:rsidRPr="00257141" w:rsidRDefault="00F43D87" w:rsidP="00257141">
      <w:pPr>
        <w:pStyle w:val="ListParagraph"/>
        <w:numPr>
          <w:ilvl w:val="0"/>
          <w:numId w:val="11"/>
        </w:numPr>
        <w:spacing w:after="160"/>
        <w:rPr>
          <w:kern w:val="2"/>
          <w14:ligatures w14:val="standardContextual"/>
        </w:rPr>
      </w:pPr>
      <w:r w:rsidRPr="00257141">
        <w:rPr>
          <w:kern w:val="2"/>
          <w14:ligatures w14:val="standardContextual"/>
        </w:rPr>
        <w:t>“This survey was hard to line up answers with the questions. They should be numbered and have alternating highlighted paths.”</w:t>
      </w:r>
    </w:p>
    <w:p w14:paraId="6254DF48" w14:textId="31C33B5A" w:rsidR="002216EE" w:rsidRPr="00257141" w:rsidRDefault="002216EE" w:rsidP="00FA711C">
      <w:pPr>
        <w:spacing w:after="160"/>
        <w:ind w:left="360"/>
        <w:rPr>
          <w:i/>
          <w:iCs/>
          <w:color w:val="5B9BD5" w:themeColor="accent5"/>
          <w:kern w:val="2"/>
          <w14:ligatures w14:val="standardContextual"/>
        </w:rPr>
      </w:pPr>
      <w:r w:rsidRPr="00257141">
        <w:rPr>
          <w:i/>
          <w:iCs/>
          <w:color w:val="5B9BD5" w:themeColor="accent5"/>
          <w:kern w:val="2"/>
          <w14:ligatures w14:val="standardContextual"/>
        </w:rPr>
        <w:t xml:space="preserve">This comment will be noted and taken into consideration for the future. </w:t>
      </w:r>
    </w:p>
    <w:p w14:paraId="181A5017" w14:textId="206AE9C9" w:rsidR="009517BB" w:rsidRPr="009B77E7" w:rsidRDefault="00F43D87" w:rsidP="009B77E7">
      <w:pPr>
        <w:pStyle w:val="ListParagraph"/>
        <w:numPr>
          <w:ilvl w:val="0"/>
          <w:numId w:val="11"/>
        </w:numPr>
        <w:spacing w:after="160"/>
        <w:rPr>
          <w:kern w:val="2"/>
          <w14:ligatures w14:val="standardContextual"/>
        </w:rPr>
      </w:pPr>
      <w:r w:rsidRPr="009B77E7">
        <w:rPr>
          <w:kern w:val="2"/>
          <w14:ligatures w14:val="standardContextual"/>
        </w:rPr>
        <w:t>“Wish there were more resources given to me to meet my needs more, I am struggling and trying so hard with more stress and debt to my life. I’m low income and have searched all over for assistance in housing and living needs to meet my medical, financial, emotional needs.”</w:t>
      </w:r>
      <w:r w:rsidR="009517BB" w:rsidRPr="009B77E7">
        <w:rPr>
          <w:kern w:val="2"/>
          <w14:ligatures w14:val="standardContextual"/>
        </w:rPr>
        <w:t xml:space="preserve"> </w:t>
      </w:r>
    </w:p>
    <w:p w14:paraId="50932EA1" w14:textId="365FED99" w:rsidR="009517BB" w:rsidRPr="009B77E7" w:rsidRDefault="009517BB" w:rsidP="009B77E7">
      <w:pPr>
        <w:pStyle w:val="ListParagraph"/>
        <w:numPr>
          <w:ilvl w:val="0"/>
          <w:numId w:val="11"/>
        </w:numPr>
        <w:spacing w:after="160"/>
        <w:rPr>
          <w:kern w:val="2"/>
          <w14:ligatures w14:val="standardContextual"/>
        </w:rPr>
      </w:pPr>
      <w:r w:rsidRPr="009B77E7">
        <w:rPr>
          <w:kern w:val="2"/>
          <w14:ligatures w14:val="standardContextual"/>
        </w:rPr>
        <w:t>“I can’t remember if they gave me information about other programs for help during my visit that day.”</w:t>
      </w:r>
    </w:p>
    <w:p w14:paraId="2712ED26" w14:textId="3541C592" w:rsidR="000C1C66" w:rsidRPr="00257141" w:rsidRDefault="009B77E7" w:rsidP="00FA711C">
      <w:pPr>
        <w:spacing w:after="160"/>
        <w:ind w:left="360"/>
        <w:rPr>
          <w:i/>
          <w:iCs/>
          <w:color w:val="5B9BD5" w:themeColor="accent5"/>
          <w:kern w:val="2"/>
          <w14:ligatures w14:val="standardContextual"/>
        </w:rPr>
      </w:pPr>
      <w:r>
        <w:rPr>
          <w:i/>
          <w:iCs/>
          <w:color w:val="5B9BD5" w:themeColor="accent5"/>
          <w:kern w:val="2"/>
          <w14:ligatures w14:val="standardContextual"/>
        </w:rPr>
        <w:t>Comments 3 and 4</w:t>
      </w:r>
      <w:r w:rsidR="000C1C66" w:rsidRPr="00257141">
        <w:rPr>
          <w:i/>
          <w:iCs/>
          <w:color w:val="5B9BD5" w:themeColor="accent5"/>
          <w:kern w:val="2"/>
          <w14:ligatures w14:val="standardContextual"/>
        </w:rPr>
        <w:t xml:space="preserve"> </w:t>
      </w:r>
      <w:r w:rsidR="009517BB" w:rsidRPr="00257141">
        <w:rPr>
          <w:i/>
          <w:iCs/>
          <w:color w:val="5B9BD5" w:themeColor="accent5"/>
          <w:kern w:val="2"/>
          <w14:ligatures w14:val="standardContextual"/>
        </w:rPr>
        <w:t>are</w:t>
      </w:r>
      <w:r w:rsidR="000C1C66" w:rsidRPr="00257141">
        <w:rPr>
          <w:i/>
          <w:iCs/>
          <w:color w:val="5B9BD5" w:themeColor="accent5"/>
          <w:kern w:val="2"/>
          <w14:ligatures w14:val="standardContextual"/>
        </w:rPr>
        <w:t xml:space="preserve"> another indication that staff can improve </w:t>
      </w:r>
      <w:r w:rsidR="000275C2" w:rsidRPr="00257141">
        <w:rPr>
          <w:i/>
          <w:iCs/>
          <w:color w:val="5B9BD5" w:themeColor="accent5"/>
          <w:kern w:val="2"/>
          <w14:ligatures w14:val="standardContextual"/>
        </w:rPr>
        <w:t xml:space="preserve">when it comes to sharing partner resources. </w:t>
      </w:r>
    </w:p>
    <w:p w14:paraId="4F36F20F" w14:textId="5932BAFA" w:rsidR="00F43D87" w:rsidRPr="009B77E7" w:rsidRDefault="00F43D87" w:rsidP="009B77E7">
      <w:pPr>
        <w:pStyle w:val="ListParagraph"/>
        <w:numPr>
          <w:ilvl w:val="0"/>
          <w:numId w:val="11"/>
        </w:numPr>
        <w:spacing w:after="160"/>
        <w:rPr>
          <w:kern w:val="2"/>
          <w14:ligatures w14:val="standardContextual"/>
        </w:rPr>
      </w:pPr>
      <w:r w:rsidRPr="009B77E7">
        <w:rPr>
          <w:kern w:val="2"/>
          <w14:ligatures w14:val="standardContextual"/>
        </w:rPr>
        <w:t>“One concern would be to allow all agencies to share my information more freely to help speed up the entire process if possible. Overall excellent professional behavior and attitudes.”</w:t>
      </w:r>
    </w:p>
    <w:p w14:paraId="77FEBDB8" w14:textId="12D8152F" w:rsidR="000275C2" w:rsidRPr="009B77E7" w:rsidRDefault="000275C2" w:rsidP="00FA711C">
      <w:pPr>
        <w:spacing w:after="160"/>
        <w:rPr>
          <w:i/>
          <w:iCs/>
          <w:color w:val="5B9BD5" w:themeColor="accent5"/>
          <w:kern w:val="2"/>
          <w14:ligatures w14:val="standardContextual"/>
        </w:rPr>
      </w:pPr>
      <w:bookmarkStart w:id="2" w:name="_Hlk153526044"/>
      <w:r w:rsidRPr="009B77E7">
        <w:rPr>
          <w:i/>
          <w:iCs/>
          <w:color w:val="5B9BD5" w:themeColor="accent5"/>
          <w:kern w:val="2"/>
          <w14:ligatures w14:val="standardContextual"/>
        </w:rPr>
        <w:t xml:space="preserve">While we </w:t>
      </w:r>
      <w:r w:rsidR="005A0ECD" w:rsidRPr="009B77E7">
        <w:rPr>
          <w:i/>
          <w:iCs/>
          <w:color w:val="5B9BD5" w:themeColor="accent5"/>
          <w:kern w:val="2"/>
          <w14:ligatures w14:val="standardContextual"/>
        </w:rPr>
        <w:t xml:space="preserve">understand and </w:t>
      </w:r>
      <w:r w:rsidR="00257141" w:rsidRPr="009B77E7">
        <w:rPr>
          <w:i/>
          <w:iCs/>
          <w:color w:val="5B9BD5" w:themeColor="accent5"/>
          <w:kern w:val="2"/>
          <w14:ligatures w14:val="standardContextual"/>
        </w:rPr>
        <w:t>relate to</w:t>
      </w:r>
      <w:r w:rsidRPr="009B77E7">
        <w:rPr>
          <w:i/>
          <w:iCs/>
          <w:color w:val="5B9BD5" w:themeColor="accent5"/>
          <w:kern w:val="2"/>
          <w14:ligatures w14:val="standardContextual"/>
        </w:rPr>
        <w:t xml:space="preserve"> this frustration, SMCAA is unable to </w:t>
      </w:r>
      <w:r w:rsidR="00E96172" w:rsidRPr="009B77E7">
        <w:rPr>
          <w:i/>
          <w:iCs/>
          <w:color w:val="5B9BD5" w:themeColor="accent5"/>
          <w:kern w:val="2"/>
          <w14:ligatures w14:val="standardContextual"/>
        </w:rPr>
        <w:t>access, share, or receive client information from other agencies.</w:t>
      </w:r>
      <w:r w:rsidR="005A0ECD" w:rsidRPr="009B77E7">
        <w:rPr>
          <w:i/>
          <w:iCs/>
          <w:color w:val="5B9BD5" w:themeColor="accent5"/>
          <w:kern w:val="2"/>
          <w14:ligatures w14:val="standardContextual"/>
        </w:rPr>
        <w:t xml:space="preserve"> Agencies </w:t>
      </w:r>
      <w:r w:rsidR="007B4473" w:rsidRPr="009B77E7">
        <w:rPr>
          <w:i/>
          <w:iCs/>
          <w:color w:val="5B9BD5" w:themeColor="accent5"/>
          <w:kern w:val="2"/>
          <w14:ligatures w14:val="standardContextual"/>
        </w:rPr>
        <w:t xml:space="preserve">are required </w:t>
      </w:r>
      <w:r w:rsidR="00884A00" w:rsidRPr="009B77E7">
        <w:rPr>
          <w:i/>
          <w:iCs/>
          <w:color w:val="5B9BD5" w:themeColor="accent5"/>
          <w:kern w:val="2"/>
          <w14:ligatures w14:val="standardContextual"/>
        </w:rPr>
        <w:t>(</w:t>
      </w:r>
      <w:r w:rsidR="007B4473" w:rsidRPr="009B77E7">
        <w:rPr>
          <w:i/>
          <w:iCs/>
          <w:color w:val="5B9BD5" w:themeColor="accent5"/>
          <w:kern w:val="2"/>
          <w14:ligatures w14:val="standardContextual"/>
        </w:rPr>
        <w:t xml:space="preserve">to </w:t>
      </w:r>
      <w:r w:rsidR="00884A00" w:rsidRPr="009B77E7">
        <w:rPr>
          <w:i/>
          <w:iCs/>
          <w:color w:val="5B9BD5" w:themeColor="accent5"/>
          <w:kern w:val="2"/>
          <w14:ligatures w14:val="standardContextual"/>
        </w:rPr>
        <w:t>varying</w:t>
      </w:r>
      <w:r w:rsidR="007B4473" w:rsidRPr="009B77E7">
        <w:rPr>
          <w:i/>
          <w:iCs/>
          <w:color w:val="5B9BD5" w:themeColor="accent5"/>
          <w:kern w:val="2"/>
          <w14:ligatures w14:val="standardContextual"/>
        </w:rPr>
        <w:t xml:space="preserve"> degrees</w:t>
      </w:r>
      <w:r w:rsidR="00884A00" w:rsidRPr="009B77E7">
        <w:rPr>
          <w:i/>
          <w:iCs/>
          <w:color w:val="5B9BD5" w:themeColor="accent5"/>
          <w:kern w:val="2"/>
          <w14:ligatures w14:val="standardContextual"/>
        </w:rPr>
        <w:t>)</w:t>
      </w:r>
      <w:r w:rsidR="007B4473" w:rsidRPr="009B77E7">
        <w:rPr>
          <w:i/>
          <w:iCs/>
          <w:color w:val="5B9BD5" w:themeColor="accent5"/>
          <w:kern w:val="2"/>
          <w14:ligatures w14:val="standardContextual"/>
        </w:rPr>
        <w:t xml:space="preserve"> to </w:t>
      </w:r>
      <w:r w:rsidR="00763894" w:rsidRPr="009B77E7">
        <w:rPr>
          <w:i/>
          <w:iCs/>
          <w:color w:val="5B9BD5" w:themeColor="accent5"/>
          <w:kern w:val="2"/>
          <w14:ligatures w14:val="standardContextual"/>
        </w:rPr>
        <w:t>protect</w:t>
      </w:r>
      <w:r w:rsidR="0078078C" w:rsidRPr="009B77E7">
        <w:rPr>
          <w:i/>
          <w:iCs/>
          <w:color w:val="5B9BD5" w:themeColor="accent5"/>
          <w:kern w:val="2"/>
          <w14:ligatures w14:val="standardContextual"/>
        </w:rPr>
        <w:t xml:space="preserve"> participant confidentiality by </w:t>
      </w:r>
      <w:r w:rsidR="007B4473" w:rsidRPr="009B77E7">
        <w:rPr>
          <w:i/>
          <w:iCs/>
          <w:color w:val="5B9BD5" w:themeColor="accent5"/>
          <w:kern w:val="2"/>
          <w14:ligatures w14:val="standardContextual"/>
        </w:rPr>
        <w:t>not shar</w:t>
      </w:r>
      <w:r w:rsidR="0078078C" w:rsidRPr="009B77E7">
        <w:rPr>
          <w:i/>
          <w:iCs/>
          <w:color w:val="5B9BD5" w:themeColor="accent5"/>
          <w:kern w:val="2"/>
          <w14:ligatures w14:val="standardContextual"/>
        </w:rPr>
        <w:t>ing</w:t>
      </w:r>
      <w:r w:rsidR="007B4473" w:rsidRPr="009B77E7">
        <w:rPr>
          <w:i/>
          <w:iCs/>
          <w:color w:val="5B9BD5" w:themeColor="accent5"/>
          <w:kern w:val="2"/>
          <w14:ligatures w14:val="standardContextual"/>
        </w:rPr>
        <w:t xml:space="preserve"> their clients’ information with outside agencies</w:t>
      </w:r>
      <w:r w:rsidR="0078078C" w:rsidRPr="009B77E7">
        <w:rPr>
          <w:i/>
          <w:iCs/>
          <w:color w:val="5B9BD5" w:themeColor="accent5"/>
          <w:kern w:val="2"/>
          <w14:ligatures w14:val="standardContextual"/>
        </w:rPr>
        <w:t xml:space="preserve">. This makes </w:t>
      </w:r>
      <w:r w:rsidR="007B4473" w:rsidRPr="009B77E7">
        <w:rPr>
          <w:i/>
          <w:iCs/>
          <w:color w:val="5B9BD5" w:themeColor="accent5"/>
          <w:kern w:val="2"/>
          <w14:ligatures w14:val="standardContextual"/>
        </w:rPr>
        <w:t xml:space="preserve">information </w:t>
      </w:r>
      <w:r w:rsidR="00257141" w:rsidRPr="009B77E7">
        <w:rPr>
          <w:i/>
          <w:iCs/>
          <w:color w:val="5B9BD5" w:themeColor="accent5"/>
          <w:kern w:val="2"/>
          <w14:ligatures w14:val="standardContextual"/>
        </w:rPr>
        <w:t>exchange</w:t>
      </w:r>
      <w:r w:rsidR="007B4473" w:rsidRPr="009B77E7">
        <w:rPr>
          <w:i/>
          <w:iCs/>
          <w:color w:val="5B9BD5" w:themeColor="accent5"/>
          <w:kern w:val="2"/>
          <w14:ligatures w14:val="standardContextual"/>
        </w:rPr>
        <w:t xml:space="preserve"> difficult</w:t>
      </w:r>
      <w:r w:rsidR="0078078C" w:rsidRPr="009B77E7">
        <w:rPr>
          <w:i/>
          <w:iCs/>
          <w:color w:val="5B9BD5" w:themeColor="accent5"/>
          <w:kern w:val="2"/>
          <w14:ligatures w14:val="standardContextual"/>
        </w:rPr>
        <w:t xml:space="preserve">-to-impossible for SMCAA. </w:t>
      </w:r>
    </w:p>
    <w:bookmarkEnd w:id="2"/>
    <w:p w14:paraId="7EF7C54C" w14:textId="1D0154B5" w:rsidR="00531F1E" w:rsidRDefault="005D7373" w:rsidP="009B77E7">
      <w:pPr>
        <w:pStyle w:val="ListParagraph"/>
        <w:numPr>
          <w:ilvl w:val="0"/>
          <w:numId w:val="11"/>
        </w:numPr>
        <w:spacing w:after="160"/>
        <w:rPr>
          <w:kern w:val="2"/>
          <w14:ligatures w14:val="standardContextual"/>
        </w:rPr>
      </w:pPr>
      <w:r w:rsidRPr="009B77E7">
        <w:rPr>
          <w:kern w:val="2"/>
          <w14:ligatures w14:val="standardContextual"/>
        </w:rPr>
        <w:t>“Have been out of propane since January and contacted SMCAA and was told they could help with $300. DHS approved us for $</w:t>
      </w:r>
      <w:r w:rsidR="006950E8">
        <w:rPr>
          <w:kern w:val="2"/>
          <w14:ligatures w14:val="standardContextual"/>
        </w:rPr>
        <w:t>3</w:t>
      </w:r>
      <w:r w:rsidRPr="009B77E7">
        <w:rPr>
          <w:kern w:val="2"/>
          <w14:ligatures w14:val="standardContextual"/>
        </w:rPr>
        <w:t xml:space="preserve">00 and we were told we had to pay $143. We paid our $143 to S&amp;F Propane and sent them the information. I have been emailing and calling and leaving messaged and have not had a return email or phone call from anyone in the past week of trying to figure out why I’m not getting assistance or if anything else is needed from me.” </w:t>
      </w:r>
    </w:p>
    <w:p w14:paraId="58AF0D52" w14:textId="42382D25" w:rsidR="00671766" w:rsidRPr="009B77E7" w:rsidRDefault="00671766" w:rsidP="00671766">
      <w:pPr>
        <w:spacing w:after="160"/>
        <w:rPr>
          <w:i/>
          <w:iCs/>
          <w:color w:val="5B9BD5" w:themeColor="accent5"/>
          <w:kern w:val="2"/>
          <w14:ligatures w14:val="standardContextual"/>
        </w:rPr>
      </w:pPr>
      <w:r>
        <w:rPr>
          <w:i/>
          <w:iCs/>
          <w:color w:val="5B9BD5" w:themeColor="accent5"/>
          <w:kern w:val="2"/>
          <w14:ligatures w14:val="standardContextual"/>
        </w:rPr>
        <w:t>When they arrived at the agency</w:t>
      </w:r>
      <w:r w:rsidR="0087398C">
        <w:rPr>
          <w:i/>
          <w:iCs/>
          <w:color w:val="5B9BD5" w:themeColor="accent5"/>
          <w:kern w:val="2"/>
          <w14:ligatures w14:val="standardContextual"/>
        </w:rPr>
        <w:t xml:space="preserve"> this</w:t>
      </w:r>
      <w:r>
        <w:rPr>
          <w:i/>
          <w:iCs/>
          <w:color w:val="5B9BD5" w:themeColor="accent5"/>
          <w:kern w:val="2"/>
          <w14:ligatures w14:val="standardContextual"/>
        </w:rPr>
        <w:t xml:space="preserve"> client did not provide the documentation that would prove SMCAA’s payment would resolve their emergency. </w:t>
      </w:r>
      <w:r w:rsidR="00D24506">
        <w:rPr>
          <w:i/>
          <w:iCs/>
          <w:color w:val="5B9BD5" w:themeColor="accent5"/>
          <w:kern w:val="2"/>
          <w14:ligatures w14:val="standardContextual"/>
        </w:rPr>
        <w:t>Staff did try several times to contact them and could not get a response. There is no evidence this client reached out to SMCAA via voicemails or emails. This client did receive funding from S</w:t>
      </w:r>
      <w:bookmarkStart w:id="3" w:name="_Hlk153527985"/>
      <w:r w:rsidR="00D24506">
        <w:rPr>
          <w:i/>
          <w:iCs/>
          <w:color w:val="5B9BD5" w:themeColor="accent5"/>
          <w:kern w:val="2"/>
          <w14:ligatures w14:val="standardContextual"/>
        </w:rPr>
        <w:t xml:space="preserve">MCAA. </w:t>
      </w:r>
      <w:bookmarkEnd w:id="3"/>
    </w:p>
    <w:p w14:paraId="0C3AC837" w14:textId="6C958C5E" w:rsidR="00415D4F" w:rsidRDefault="00415D4F" w:rsidP="00171701">
      <w:pPr>
        <w:pStyle w:val="ListParagraph"/>
        <w:numPr>
          <w:ilvl w:val="0"/>
          <w:numId w:val="11"/>
        </w:numPr>
        <w:spacing w:after="160"/>
        <w:rPr>
          <w:kern w:val="2"/>
          <w14:ligatures w14:val="standardContextual"/>
        </w:rPr>
      </w:pPr>
      <w:r w:rsidRPr="00171701">
        <w:rPr>
          <w:kern w:val="2"/>
          <w14:ligatures w14:val="standardContextual"/>
        </w:rPr>
        <w:t>“Problem was told to be at Cass on Tuesday, no one was there I had to wait until Thursday. Inconvenient with misinformation.”</w:t>
      </w:r>
    </w:p>
    <w:p w14:paraId="2F3FA1E2" w14:textId="0817DD65" w:rsidR="009B77E7" w:rsidRPr="009B77E7" w:rsidRDefault="00341B1F" w:rsidP="00CC6ACD">
      <w:pPr>
        <w:spacing w:after="160"/>
        <w:rPr>
          <w:kern w:val="2"/>
          <w14:ligatures w14:val="standardContextual"/>
        </w:rPr>
      </w:pPr>
      <w:r>
        <w:rPr>
          <w:i/>
          <w:iCs/>
          <w:color w:val="5B9BD5" w:themeColor="accent5"/>
          <w:kern w:val="2"/>
          <w14:ligatures w14:val="standardContextual"/>
        </w:rPr>
        <w:t>We were unable to reach this client to confirm any miscommunication</w:t>
      </w:r>
      <w:r w:rsidR="00CC6ACD">
        <w:rPr>
          <w:i/>
          <w:iCs/>
          <w:color w:val="5B9BD5" w:themeColor="accent5"/>
          <w:kern w:val="2"/>
          <w14:ligatures w14:val="standardContextual"/>
        </w:rPr>
        <w:t xml:space="preserve">s. This client was referred to Helping Hands, and received funding for propane multiples times through our agency. </w:t>
      </w:r>
    </w:p>
    <w:p w14:paraId="5265485F" w14:textId="659ECB77" w:rsidR="00FA711C" w:rsidRDefault="002E1D67" w:rsidP="00FA711C">
      <w:pPr>
        <w:pStyle w:val="ListParagraph"/>
        <w:numPr>
          <w:ilvl w:val="0"/>
          <w:numId w:val="11"/>
        </w:numPr>
        <w:spacing w:after="160"/>
        <w:rPr>
          <w:kern w:val="2"/>
          <w14:ligatures w14:val="standardContextual"/>
        </w:rPr>
      </w:pPr>
      <w:r w:rsidRPr="009B77E7">
        <w:rPr>
          <w:kern w:val="2"/>
          <w14:ligatures w14:val="standardContextual"/>
        </w:rPr>
        <w:t>“I need help paying back rent, somebody stole my money and they won’t give it back.”</w:t>
      </w:r>
    </w:p>
    <w:p w14:paraId="1296561B" w14:textId="77777777" w:rsidR="00FA711C" w:rsidRPr="00FA711C" w:rsidRDefault="00FA711C" w:rsidP="00FA711C">
      <w:pPr>
        <w:pStyle w:val="ListParagraph"/>
        <w:rPr>
          <w:i/>
          <w:iCs/>
          <w:color w:val="5B9BD5" w:themeColor="accent5"/>
          <w:kern w:val="2"/>
          <w14:ligatures w14:val="standardContextual"/>
        </w:rPr>
      </w:pPr>
    </w:p>
    <w:p w14:paraId="429E5E2D" w14:textId="10601DD6" w:rsidR="002E5FCD" w:rsidRPr="00FA711C" w:rsidRDefault="009517BB" w:rsidP="00FA711C">
      <w:pPr>
        <w:spacing w:after="160"/>
        <w:rPr>
          <w:kern w:val="2"/>
          <w14:ligatures w14:val="standardContextual"/>
        </w:rPr>
      </w:pPr>
      <w:r w:rsidRPr="00FA711C">
        <w:rPr>
          <w:i/>
          <w:iCs/>
          <w:color w:val="5B9BD5" w:themeColor="accent5"/>
          <w:kern w:val="2"/>
          <w14:ligatures w14:val="standardContextual"/>
        </w:rPr>
        <w:lastRenderedPageBreak/>
        <w:t xml:space="preserve">There was no contact information available for this client for follow-up. </w:t>
      </w:r>
    </w:p>
    <w:p w14:paraId="04D2D904" w14:textId="6BDA1704" w:rsidR="002E5FCD" w:rsidRPr="009E4675" w:rsidRDefault="001E0249" w:rsidP="009E4675">
      <w:pPr>
        <w:pStyle w:val="ListParagraph"/>
        <w:numPr>
          <w:ilvl w:val="0"/>
          <w:numId w:val="11"/>
        </w:numPr>
        <w:spacing w:after="160"/>
        <w:rPr>
          <w:kern w:val="2"/>
          <w14:ligatures w14:val="standardContextual"/>
        </w:rPr>
      </w:pPr>
      <w:r w:rsidRPr="009E4675">
        <w:rPr>
          <w:kern w:val="2"/>
          <w14:ligatures w14:val="standardContextual"/>
        </w:rPr>
        <w:t xml:space="preserve">One client noted several </w:t>
      </w:r>
      <w:r w:rsidR="00722DC9" w:rsidRPr="009E4675">
        <w:rPr>
          <w:kern w:val="2"/>
          <w14:ligatures w14:val="standardContextual"/>
        </w:rPr>
        <w:t xml:space="preserve">areas of concern throughout the survey. He </w:t>
      </w:r>
      <w:r w:rsidR="007C03FC" w:rsidRPr="009E4675">
        <w:rPr>
          <w:kern w:val="2"/>
          <w14:ligatures w14:val="standardContextual"/>
        </w:rPr>
        <w:t>marked that he applied for food assistance, utility assistance, and rent/mortgage assistance</w:t>
      </w:r>
      <w:r w:rsidR="008E6C85" w:rsidRPr="009E4675">
        <w:rPr>
          <w:kern w:val="2"/>
          <w14:ligatures w14:val="standardContextual"/>
        </w:rPr>
        <w:t xml:space="preserve">, with comments that he needed the “emergency food box,” and his “water bill only. Was told no funding for gas bill.” He noted that “Landlord was still not paid as of </w:t>
      </w:r>
      <w:r w:rsidR="0022635F" w:rsidRPr="009E4675">
        <w:rPr>
          <w:kern w:val="2"/>
          <w14:ligatures w14:val="standardContextual"/>
        </w:rPr>
        <w:t>3/18/23” as his reasoning for opting “disagree” under the survey question “Services were provided to me in a timely manner</w:t>
      </w:r>
      <w:r w:rsidR="00627376" w:rsidRPr="009E4675">
        <w:rPr>
          <w:kern w:val="2"/>
          <w14:ligatures w14:val="standardContextual"/>
        </w:rPr>
        <w:t>. He also marked</w:t>
      </w:r>
      <w:r w:rsidR="0034596F" w:rsidRPr="009E4675">
        <w:rPr>
          <w:kern w:val="2"/>
          <w14:ligatures w14:val="standardContextual"/>
        </w:rPr>
        <w:t xml:space="preserve"> disagreeing with “My needs were met based on the services this program could provide me,” where he again noted “also need help with gas bill.” </w:t>
      </w:r>
    </w:p>
    <w:p w14:paraId="23D21A3C" w14:textId="2A003B45" w:rsidR="001E0249" w:rsidRPr="009E4675" w:rsidRDefault="002E5FCD" w:rsidP="009E4675">
      <w:pPr>
        <w:spacing w:after="160"/>
        <w:rPr>
          <w:i/>
          <w:iCs/>
          <w:color w:val="5B9BD5" w:themeColor="accent5"/>
          <w:kern w:val="2"/>
          <w14:ligatures w14:val="standardContextual"/>
        </w:rPr>
      </w:pPr>
      <w:r w:rsidRPr="009E4675">
        <w:rPr>
          <w:i/>
          <w:iCs/>
          <w:color w:val="5B9BD5" w:themeColor="accent5"/>
          <w:kern w:val="2"/>
          <w14:ligatures w14:val="standardContextual"/>
        </w:rPr>
        <w:t xml:space="preserve">As this client provided his contact information, his case was reviewed and it </w:t>
      </w:r>
      <w:r w:rsidR="002836AC" w:rsidRPr="009E4675">
        <w:rPr>
          <w:i/>
          <w:iCs/>
          <w:color w:val="5B9BD5" w:themeColor="accent5"/>
          <w:kern w:val="2"/>
          <w14:ligatures w14:val="standardContextual"/>
        </w:rPr>
        <w:t>should be</w:t>
      </w:r>
      <w:r w:rsidRPr="009E4675">
        <w:rPr>
          <w:i/>
          <w:iCs/>
          <w:color w:val="5B9BD5" w:themeColor="accent5"/>
          <w:kern w:val="2"/>
          <w14:ligatures w14:val="standardContextual"/>
        </w:rPr>
        <w:t xml:space="preserve"> noted he had </w:t>
      </w:r>
      <w:r w:rsidR="00C736FE" w:rsidRPr="009E4675">
        <w:rPr>
          <w:i/>
          <w:iCs/>
          <w:color w:val="5B9BD5" w:themeColor="accent5"/>
          <w:kern w:val="2"/>
          <w14:ligatures w14:val="standardContextual"/>
        </w:rPr>
        <w:t>received $475.00 rental assistance on 2/22/23, $203</w:t>
      </w:r>
      <w:r w:rsidR="002A2182" w:rsidRPr="009E4675">
        <w:rPr>
          <w:i/>
          <w:iCs/>
          <w:color w:val="5B9BD5" w:themeColor="accent5"/>
          <w:kern w:val="2"/>
          <w14:ligatures w14:val="standardContextual"/>
        </w:rPr>
        <w:t>.</w:t>
      </w:r>
      <w:r w:rsidR="00C736FE" w:rsidRPr="009E4675">
        <w:rPr>
          <w:i/>
          <w:iCs/>
          <w:color w:val="5B9BD5" w:themeColor="accent5"/>
          <w:kern w:val="2"/>
          <w14:ligatures w14:val="standardContextual"/>
        </w:rPr>
        <w:t xml:space="preserve">04 for water bills also in February, and that his landlord was paid on 3/22/23. </w:t>
      </w:r>
      <w:r w:rsidR="007F4EC2" w:rsidRPr="009E4675">
        <w:rPr>
          <w:i/>
          <w:iCs/>
          <w:color w:val="5B9BD5" w:themeColor="accent5"/>
          <w:kern w:val="2"/>
          <w14:ligatures w14:val="standardContextual"/>
        </w:rPr>
        <w:t xml:space="preserve">In March, he was also </w:t>
      </w:r>
      <w:r w:rsidR="00C63CB0">
        <w:rPr>
          <w:i/>
          <w:iCs/>
          <w:color w:val="5B9BD5" w:themeColor="accent5"/>
          <w:kern w:val="2"/>
          <w14:ligatures w14:val="standardContextual"/>
        </w:rPr>
        <w:t>credited</w:t>
      </w:r>
      <w:r w:rsidR="007F4EC2" w:rsidRPr="009E4675">
        <w:rPr>
          <w:i/>
          <w:iCs/>
          <w:color w:val="5B9BD5" w:themeColor="accent5"/>
          <w:kern w:val="2"/>
          <w14:ligatures w14:val="standardContextual"/>
        </w:rPr>
        <w:t xml:space="preserve"> $1</w:t>
      </w:r>
      <w:r w:rsidR="002A2182" w:rsidRPr="009E4675">
        <w:rPr>
          <w:i/>
          <w:iCs/>
          <w:color w:val="5B9BD5" w:themeColor="accent5"/>
          <w:kern w:val="2"/>
          <w14:ligatures w14:val="standardContextual"/>
        </w:rPr>
        <w:t>,</w:t>
      </w:r>
      <w:r w:rsidR="007F4EC2" w:rsidRPr="009E4675">
        <w:rPr>
          <w:i/>
          <w:iCs/>
          <w:color w:val="5B9BD5" w:themeColor="accent5"/>
          <w:kern w:val="2"/>
          <w14:ligatures w14:val="standardContextual"/>
        </w:rPr>
        <w:t>281.00 in total toward his gas bill. He was</w:t>
      </w:r>
      <w:r w:rsidR="00DD2151">
        <w:rPr>
          <w:i/>
          <w:iCs/>
          <w:color w:val="5B9BD5" w:themeColor="accent5"/>
          <w:kern w:val="2"/>
          <w14:ligatures w14:val="standardContextual"/>
        </w:rPr>
        <w:t xml:space="preserve"> provided provisions from the food pantry and</w:t>
      </w:r>
      <w:r w:rsidR="007F4EC2" w:rsidRPr="009E4675">
        <w:rPr>
          <w:i/>
          <w:iCs/>
          <w:color w:val="5B9BD5" w:themeColor="accent5"/>
          <w:kern w:val="2"/>
          <w14:ligatures w14:val="standardContextual"/>
        </w:rPr>
        <w:t xml:space="preserve"> additionally signed up for CSFP/TEFAP </w:t>
      </w:r>
      <w:r w:rsidR="002A2182" w:rsidRPr="009E4675">
        <w:rPr>
          <w:i/>
          <w:iCs/>
          <w:color w:val="5B9BD5" w:themeColor="accent5"/>
          <w:kern w:val="2"/>
          <w14:ligatures w14:val="standardContextual"/>
        </w:rPr>
        <w:t xml:space="preserve">food distribution </w:t>
      </w:r>
      <w:r w:rsidR="007F4EC2" w:rsidRPr="009E4675">
        <w:rPr>
          <w:i/>
          <w:iCs/>
          <w:color w:val="5B9BD5" w:themeColor="accent5"/>
          <w:kern w:val="2"/>
          <w14:ligatures w14:val="standardContextual"/>
        </w:rPr>
        <w:t>but has never picked up his food boxes</w:t>
      </w:r>
      <w:r w:rsidR="00DD2151">
        <w:rPr>
          <w:i/>
          <w:iCs/>
          <w:color w:val="5B9BD5" w:themeColor="accent5"/>
          <w:kern w:val="2"/>
          <w14:ligatures w14:val="standardContextual"/>
        </w:rPr>
        <w:t xml:space="preserve"> for these programs</w:t>
      </w:r>
      <w:r w:rsidR="007F4EC2" w:rsidRPr="009E4675">
        <w:rPr>
          <w:i/>
          <w:iCs/>
          <w:color w:val="5B9BD5" w:themeColor="accent5"/>
          <w:kern w:val="2"/>
          <w14:ligatures w14:val="standardContextual"/>
        </w:rPr>
        <w:t>. Overall</w:t>
      </w:r>
      <w:r w:rsidR="00C63CB0">
        <w:rPr>
          <w:i/>
          <w:iCs/>
          <w:color w:val="5B9BD5" w:themeColor="accent5"/>
          <w:kern w:val="2"/>
          <w14:ligatures w14:val="standardContextual"/>
        </w:rPr>
        <w:t xml:space="preserve">, </w:t>
      </w:r>
      <w:r w:rsidR="000652A0" w:rsidRPr="009E4675">
        <w:rPr>
          <w:i/>
          <w:iCs/>
          <w:color w:val="5B9BD5" w:themeColor="accent5"/>
          <w:kern w:val="2"/>
          <w14:ligatures w14:val="standardContextual"/>
        </w:rPr>
        <w:t xml:space="preserve">in 2023 this client was paid out </w:t>
      </w:r>
      <w:r w:rsidR="005C570F" w:rsidRPr="009E4675">
        <w:rPr>
          <w:i/>
          <w:iCs/>
          <w:color w:val="5B9BD5" w:themeColor="accent5"/>
          <w:kern w:val="2"/>
          <w14:ligatures w14:val="standardContextual"/>
        </w:rPr>
        <w:t xml:space="preserve">over </w:t>
      </w:r>
      <w:r w:rsidR="000652A0" w:rsidRPr="009E4675">
        <w:rPr>
          <w:i/>
          <w:iCs/>
          <w:color w:val="5B9BD5" w:themeColor="accent5"/>
          <w:kern w:val="2"/>
          <w14:ligatures w14:val="standardContextual"/>
        </w:rPr>
        <w:t xml:space="preserve">$1,959.00 </w:t>
      </w:r>
    </w:p>
    <w:p w14:paraId="02CF18B1" w14:textId="36F66006" w:rsidR="00063BA9" w:rsidRPr="009D464F" w:rsidRDefault="00063BA9" w:rsidP="00063BA9">
      <w:pPr>
        <w:shd w:val="clear" w:color="auto" w:fill="4472C4" w:themeFill="accent1"/>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CLIENT SATISFACTION SURVEY RESULTS </w:t>
      </w:r>
    </w:p>
    <w:p w14:paraId="6B80D834" w14:textId="6288CA80" w:rsidR="00CC0FBB" w:rsidRDefault="00CC0FBB" w:rsidP="00CC0FBB">
      <w:pPr>
        <w:spacing w:after="160"/>
        <w:rPr>
          <w:i/>
          <w:iCs/>
          <w:kern w:val="2"/>
          <w14:ligatures w14:val="standardContextual"/>
        </w:rPr>
      </w:pPr>
    </w:p>
    <w:p w14:paraId="25B6889A" w14:textId="03D8D50F" w:rsidR="00F076F0" w:rsidRPr="00F076F0" w:rsidRDefault="00F076F0" w:rsidP="00F076F0">
      <w:pPr>
        <w:spacing w:after="160"/>
        <w:jc w:val="center"/>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F076F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t>KEY TAKEAWAYS</w:t>
      </w:r>
    </w:p>
    <w:p w14:paraId="4F5AEE82" w14:textId="6E35D718" w:rsidR="00CD53E0" w:rsidRDefault="006E5BA7" w:rsidP="00CC0FBB">
      <w:pPr>
        <w:pStyle w:val="ListParagraph"/>
        <w:numPr>
          <w:ilvl w:val="0"/>
          <w:numId w:val="10"/>
        </w:numPr>
        <w:spacing w:after="160"/>
        <w:rPr>
          <w:kern w:val="2"/>
          <w14:ligatures w14:val="standardContextual"/>
        </w:rPr>
      </w:pPr>
      <w:r w:rsidRPr="00960727">
        <w:rPr>
          <w:kern w:val="2"/>
          <w14:ligatures w14:val="standardContextual"/>
        </w:rPr>
        <w:t xml:space="preserve">There was a notable drop in clients who took the Client Satisfaction Survey </w:t>
      </w:r>
      <w:r w:rsidR="00453CC5" w:rsidRPr="00960727">
        <w:rPr>
          <w:kern w:val="2"/>
          <w14:ligatures w14:val="standardContextual"/>
        </w:rPr>
        <w:t>online (</w:t>
      </w:r>
      <w:r w:rsidR="00273CD0" w:rsidRPr="00960727">
        <w:rPr>
          <w:kern w:val="2"/>
          <w14:ligatures w14:val="standardContextual"/>
        </w:rPr>
        <w:t xml:space="preserve">8% in FY22, </w:t>
      </w:r>
      <w:r w:rsidR="001E0864" w:rsidRPr="00960727">
        <w:rPr>
          <w:kern w:val="2"/>
          <w14:ligatures w14:val="standardContextual"/>
        </w:rPr>
        <w:t xml:space="preserve">with </w:t>
      </w:r>
      <w:r w:rsidR="00273CD0" w:rsidRPr="00960727">
        <w:rPr>
          <w:kern w:val="2"/>
          <w14:ligatures w14:val="standardContextual"/>
        </w:rPr>
        <w:t>just 3% in FY2</w:t>
      </w:r>
      <w:r w:rsidR="002A14EB">
        <w:rPr>
          <w:kern w:val="2"/>
          <w14:ligatures w14:val="standardContextual"/>
        </w:rPr>
        <w:t>3</w:t>
      </w:r>
      <w:r w:rsidR="00273CD0" w:rsidRPr="00960727">
        <w:rPr>
          <w:kern w:val="2"/>
          <w14:ligatures w14:val="standardContextual"/>
        </w:rPr>
        <w:t xml:space="preserve">). </w:t>
      </w:r>
      <w:r w:rsidR="00715AFF" w:rsidRPr="00960727">
        <w:rPr>
          <w:kern w:val="2"/>
          <w14:ligatures w14:val="standardContextual"/>
        </w:rPr>
        <w:t xml:space="preserve">While, as </w:t>
      </w:r>
      <w:r w:rsidR="007F7798">
        <w:rPr>
          <w:kern w:val="2"/>
          <w14:ligatures w14:val="standardContextual"/>
        </w:rPr>
        <w:t>addressed</w:t>
      </w:r>
      <w:r w:rsidR="00715AFF" w:rsidRPr="00960727">
        <w:rPr>
          <w:kern w:val="2"/>
          <w14:ligatures w14:val="standardContextual"/>
        </w:rPr>
        <w:t xml:space="preserve">, some of this may be contributed to </w:t>
      </w:r>
      <w:r w:rsidR="007F7798">
        <w:rPr>
          <w:kern w:val="2"/>
          <w14:ligatures w14:val="standardContextual"/>
        </w:rPr>
        <w:t xml:space="preserve">the resumption of </w:t>
      </w:r>
      <w:r w:rsidR="00715AFF" w:rsidRPr="00960727">
        <w:rPr>
          <w:kern w:val="2"/>
          <w14:ligatures w14:val="standardContextual"/>
        </w:rPr>
        <w:t xml:space="preserve">in-person </w:t>
      </w:r>
      <w:r w:rsidR="007F7798">
        <w:rPr>
          <w:kern w:val="2"/>
          <w14:ligatures w14:val="standardContextual"/>
        </w:rPr>
        <w:t>applications</w:t>
      </w:r>
      <w:r w:rsidR="00715AFF" w:rsidRPr="00960727">
        <w:rPr>
          <w:kern w:val="2"/>
          <w14:ligatures w14:val="standardContextual"/>
        </w:rPr>
        <w:t xml:space="preserve">, it is something to </w:t>
      </w:r>
      <w:r w:rsidR="00A521B4" w:rsidRPr="00960727">
        <w:rPr>
          <w:kern w:val="2"/>
          <w14:ligatures w14:val="standardContextual"/>
        </w:rPr>
        <w:t>consider</w:t>
      </w:r>
      <w:r w:rsidR="00715AFF" w:rsidRPr="00960727">
        <w:rPr>
          <w:kern w:val="2"/>
          <w14:ligatures w14:val="standardContextual"/>
        </w:rPr>
        <w:t xml:space="preserve"> for the future.</w:t>
      </w:r>
      <w:r w:rsidR="00960727" w:rsidRPr="00960727">
        <w:rPr>
          <w:kern w:val="2"/>
          <w14:ligatures w14:val="standardContextual"/>
        </w:rPr>
        <w:t xml:space="preserve"> With only a 5% total return of surveys, ensuring clients are aware of their survey-taking options is pivotal to increasing return rate. </w:t>
      </w:r>
    </w:p>
    <w:p w14:paraId="4BB92235" w14:textId="3EE56E44" w:rsidR="001571E5" w:rsidRPr="00960727" w:rsidRDefault="001571E5" w:rsidP="00CC0FBB">
      <w:pPr>
        <w:pStyle w:val="ListParagraph"/>
        <w:numPr>
          <w:ilvl w:val="0"/>
          <w:numId w:val="10"/>
        </w:numPr>
        <w:spacing w:after="160"/>
        <w:rPr>
          <w:kern w:val="2"/>
          <w14:ligatures w14:val="standardContextual"/>
        </w:rPr>
      </w:pPr>
      <w:r>
        <w:rPr>
          <w:kern w:val="2"/>
          <w14:ligatures w14:val="standardContextual"/>
        </w:rPr>
        <w:t xml:space="preserve">Comparable to previous years, </w:t>
      </w:r>
      <w:r w:rsidR="009B7986">
        <w:rPr>
          <w:kern w:val="2"/>
          <w14:ligatures w14:val="standardContextual"/>
        </w:rPr>
        <w:t>awareness of SMCAA and its programs is driven substantially by referrals from other agencies</w:t>
      </w:r>
      <w:r w:rsidR="00626BDE">
        <w:rPr>
          <w:kern w:val="2"/>
          <w14:ligatures w14:val="standardContextual"/>
        </w:rPr>
        <w:t xml:space="preserve"> (</w:t>
      </w:r>
      <w:r w:rsidR="00EB3565">
        <w:rPr>
          <w:kern w:val="2"/>
          <w14:ligatures w14:val="standardContextual"/>
        </w:rPr>
        <w:t>33%)</w:t>
      </w:r>
      <w:r w:rsidR="00C41CB0">
        <w:rPr>
          <w:kern w:val="2"/>
          <w14:ligatures w14:val="standardContextual"/>
        </w:rPr>
        <w:t xml:space="preserve"> and</w:t>
      </w:r>
      <w:r w:rsidR="009B7986">
        <w:rPr>
          <w:kern w:val="2"/>
          <w14:ligatures w14:val="standardContextual"/>
        </w:rPr>
        <w:t xml:space="preserve"> word-of-mouth</w:t>
      </w:r>
      <w:r w:rsidR="00EB3565">
        <w:rPr>
          <w:kern w:val="2"/>
          <w14:ligatures w14:val="standardContextual"/>
        </w:rPr>
        <w:t xml:space="preserve"> (37%)</w:t>
      </w:r>
      <w:r w:rsidR="009B7986">
        <w:rPr>
          <w:kern w:val="2"/>
          <w14:ligatures w14:val="standardContextual"/>
        </w:rPr>
        <w:t xml:space="preserve">. </w:t>
      </w:r>
      <w:r w:rsidR="00626BDE">
        <w:rPr>
          <w:kern w:val="2"/>
          <w14:ligatures w14:val="standardContextual"/>
        </w:rPr>
        <w:t>This shows that we have massive potential to increase awareness</w:t>
      </w:r>
      <w:r w:rsidR="00EB3565">
        <w:rPr>
          <w:kern w:val="2"/>
          <w14:ligatures w14:val="standardContextual"/>
        </w:rPr>
        <w:t xml:space="preserve"> from other channels, especially search engine (4%) and social media (3%). </w:t>
      </w:r>
    </w:p>
    <w:p w14:paraId="7BFCD2EB" w14:textId="77777777" w:rsidR="004370CD" w:rsidRPr="004370CD" w:rsidRDefault="00803BCD" w:rsidP="003A6F1E">
      <w:pPr>
        <w:pStyle w:val="ListParagraph"/>
        <w:numPr>
          <w:ilvl w:val="0"/>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960727">
        <w:rPr>
          <w:kern w:val="2"/>
          <w14:ligatures w14:val="standardContextual"/>
        </w:rPr>
        <w:t xml:space="preserve">FY23 saw a </w:t>
      </w:r>
      <w:r w:rsidR="0076398F" w:rsidRPr="00960727">
        <w:rPr>
          <w:kern w:val="2"/>
          <w14:ligatures w14:val="standardContextual"/>
        </w:rPr>
        <w:t xml:space="preserve">major revaluing of services as compared to FY22. </w:t>
      </w:r>
    </w:p>
    <w:p w14:paraId="0C630321" w14:textId="77777777" w:rsidR="004370CD" w:rsidRPr="004370CD" w:rsidRDefault="0076398F" w:rsidP="004370CD">
      <w:pPr>
        <w:pStyle w:val="ListParagraph"/>
        <w:numPr>
          <w:ilvl w:val="1"/>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sidRPr="00960727">
        <w:rPr>
          <w:kern w:val="2"/>
          <w14:ligatures w14:val="standardContextual"/>
        </w:rPr>
        <w:t>Most significant</w:t>
      </w:r>
      <w:r w:rsidR="008E301A">
        <w:rPr>
          <w:kern w:val="2"/>
          <w14:ligatures w14:val="standardContextual"/>
        </w:rPr>
        <w:t>ly</w:t>
      </w:r>
      <w:r w:rsidRPr="00960727">
        <w:rPr>
          <w:kern w:val="2"/>
          <w14:ligatures w14:val="standardContextual"/>
        </w:rPr>
        <w:t xml:space="preserve">, </w:t>
      </w:r>
      <w:r w:rsidR="00C11D7C" w:rsidRPr="00960727">
        <w:rPr>
          <w:kern w:val="2"/>
          <w14:ligatures w14:val="standardContextual"/>
        </w:rPr>
        <w:t xml:space="preserve">clients involved in the Weatherization </w:t>
      </w:r>
      <w:r w:rsidR="00277250">
        <w:rPr>
          <w:kern w:val="2"/>
          <w14:ligatures w14:val="standardContextual"/>
        </w:rPr>
        <w:t>Assistance P</w:t>
      </w:r>
      <w:r w:rsidR="00C11D7C" w:rsidRPr="00960727">
        <w:rPr>
          <w:kern w:val="2"/>
          <w14:ligatures w14:val="standardContextual"/>
        </w:rPr>
        <w:t>rogram jumped from 4</w:t>
      </w:r>
      <w:r w:rsidR="00960727">
        <w:rPr>
          <w:kern w:val="2"/>
          <w14:ligatures w14:val="standardContextual"/>
        </w:rPr>
        <w:t xml:space="preserve">% to an incredible 41%. </w:t>
      </w:r>
      <w:r w:rsidR="00277250">
        <w:rPr>
          <w:kern w:val="2"/>
          <w14:ligatures w14:val="standardContextual"/>
        </w:rPr>
        <w:t>We believe this can largely be attributed to a change in management and a focus on “de-siloing” the Weatherization Department</w:t>
      </w:r>
      <w:r w:rsidR="00E275C4">
        <w:rPr>
          <w:kern w:val="2"/>
          <w14:ligatures w14:val="standardContextual"/>
        </w:rPr>
        <w:t>, as well as</w:t>
      </w:r>
      <w:r w:rsidR="005E0593">
        <w:rPr>
          <w:kern w:val="2"/>
          <w14:ligatures w14:val="standardContextual"/>
        </w:rPr>
        <w:t xml:space="preserve"> the completion of a stable and</w:t>
      </w:r>
      <w:r w:rsidR="00E275C4">
        <w:rPr>
          <w:kern w:val="2"/>
          <w14:ligatures w14:val="standardContextual"/>
        </w:rPr>
        <w:t xml:space="preserve"> </w:t>
      </w:r>
      <w:r w:rsidR="005E0593">
        <w:rPr>
          <w:kern w:val="2"/>
          <w14:ligatures w14:val="standardContextual"/>
        </w:rPr>
        <w:t>fully-staffed team</w:t>
      </w:r>
      <w:r w:rsidR="00277250">
        <w:rPr>
          <w:kern w:val="2"/>
          <w14:ligatures w14:val="standardContextual"/>
        </w:rPr>
        <w:t>.</w:t>
      </w:r>
      <w:r w:rsidR="00426CD1">
        <w:rPr>
          <w:kern w:val="2"/>
          <w14:ligatures w14:val="standardContextual"/>
        </w:rPr>
        <w:t xml:space="preserve"> </w:t>
      </w:r>
    </w:p>
    <w:p w14:paraId="2E0D2CC4" w14:textId="7D5E6756" w:rsidR="004370CD" w:rsidRPr="00163799" w:rsidRDefault="00426CD1" w:rsidP="004370CD">
      <w:pPr>
        <w:pStyle w:val="ListParagraph"/>
        <w:numPr>
          <w:ilvl w:val="1"/>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kern w:val="2"/>
          <w14:ligatures w14:val="standardContextual"/>
        </w:rPr>
        <w:t>While</w:t>
      </w:r>
      <w:r w:rsidR="004370CD">
        <w:rPr>
          <w:kern w:val="2"/>
          <w14:ligatures w14:val="standardContextual"/>
        </w:rPr>
        <w:t xml:space="preserve"> there was a</w:t>
      </w:r>
      <w:r w:rsidR="0091555D">
        <w:rPr>
          <w:kern w:val="2"/>
          <w14:ligatures w14:val="standardContextual"/>
        </w:rPr>
        <w:t xml:space="preserve"> major</w:t>
      </w:r>
      <w:r>
        <w:rPr>
          <w:kern w:val="2"/>
          <w14:ligatures w14:val="standardContextual"/>
        </w:rPr>
        <w:t xml:space="preserve"> drop in utility </w:t>
      </w:r>
      <w:r w:rsidR="004370CD">
        <w:rPr>
          <w:kern w:val="2"/>
          <w14:ligatures w14:val="standardContextual"/>
        </w:rPr>
        <w:t>clients</w:t>
      </w:r>
      <w:r>
        <w:rPr>
          <w:kern w:val="2"/>
          <w14:ligatures w14:val="standardContextual"/>
        </w:rPr>
        <w:t xml:space="preserve"> (57% to 25% in FY23)</w:t>
      </w:r>
      <w:r w:rsidR="004370CD">
        <w:rPr>
          <w:kern w:val="2"/>
          <w14:ligatures w14:val="standardContextual"/>
        </w:rPr>
        <w:t xml:space="preserve">, it is most likely due </w:t>
      </w:r>
      <w:r w:rsidR="00CF62E4">
        <w:rPr>
          <w:kern w:val="2"/>
          <w14:ligatures w14:val="standardContextual"/>
        </w:rPr>
        <w:t xml:space="preserve">to a drop in </w:t>
      </w:r>
      <w:r w:rsidR="004370CD">
        <w:rPr>
          <w:kern w:val="2"/>
          <w14:ligatures w14:val="standardContextual"/>
        </w:rPr>
        <w:t xml:space="preserve">utility funding </w:t>
      </w:r>
      <w:r w:rsidR="00163799">
        <w:rPr>
          <w:kern w:val="2"/>
          <w14:ligatures w14:val="standardContextual"/>
        </w:rPr>
        <w:t>in FY23</w:t>
      </w:r>
      <w:r w:rsidR="00CF62E4">
        <w:rPr>
          <w:kern w:val="2"/>
          <w14:ligatures w14:val="standardContextual"/>
        </w:rPr>
        <w:t>.</w:t>
      </w:r>
    </w:p>
    <w:p w14:paraId="1440588E" w14:textId="3F92778E" w:rsidR="00104322" w:rsidRPr="003C6440" w:rsidRDefault="0091555D" w:rsidP="004370CD">
      <w:pPr>
        <w:pStyle w:val="ListParagraph"/>
        <w:numPr>
          <w:ilvl w:val="1"/>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kern w:val="2"/>
          <w14:ligatures w14:val="standardContextual"/>
        </w:rPr>
        <w:t>Homeless Shelter services rose from less than 1% to 6%</w:t>
      </w:r>
      <w:r w:rsidR="00104322">
        <w:rPr>
          <w:kern w:val="2"/>
          <w14:ligatures w14:val="standardContextual"/>
        </w:rPr>
        <w:t xml:space="preserve"> in FY23</w:t>
      </w:r>
      <w:r w:rsidR="00163799">
        <w:rPr>
          <w:kern w:val="2"/>
          <w14:ligatures w14:val="standardContextual"/>
        </w:rPr>
        <w:t xml:space="preserve">—while it appears </w:t>
      </w:r>
      <w:r w:rsidR="00104322">
        <w:rPr>
          <w:kern w:val="2"/>
          <w14:ligatures w14:val="standardContextual"/>
        </w:rPr>
        <w:t>a concerning trend</w:t>
      </w:r>
      <w:r w:rsidR="00163799">
        <w:rPr>
          <w:kern w:val="2"/>
          <w14:ligatures w14:val="standardContextual"/>
        </w:rPr>
        <w:t>, it can more likely be attributed to a reminder to Shelter staff to distribute surveys</w:t>
      </w:r>
      <w:r w:rsidR="003C6440">
        <w:rPr>
          <w:kern w:val="2"/>
          <w14:ligatures w14:val="standardContextual"/>
        </w:rPr>
        <w:t xml:space="preserve"> upon client exit, and thus increased survey return.</w:t>
      </w:r>
    </w:p>
    <w:p w14:paraId="5EA9EF06" w14:textId="40E0B0CF" w:rsidR="003A3921" w:rsidRPr="003A3921" w:rsidRDefault="003C6440" w:rsidP="003A3921">
      <w:pPr>
        <w:pStyle w:val="ListParagraph"/>
        <w:numPr>
          <w:ilvl w:val="1"/>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kern w:val="2"/>
          <w14:ligatures w14:val="standardContextual"/>
        </w:rPr>
        <w:t xml:space="preserve">Car Repair/Payment services </w:t>
      </w:r>
      <w:r w:rsidR="0063535F">
        <w:rPr>
          <w:kern w:val="2"/>
          <w14:ligatures w14:val="standardContextual"/>
        </w:rPr>
        <w:t xml:space="preserve">have also run out of funding and discontinued, resulting in low responses. </w:t>
      </w:r>
    </w:p>
    <w:p w14:paraId="1EF12A20" w14:textId="2F7664F2" w:rsidR="003A3921" w:rsidRPr="003A3921" w:rsidRDefault="003A3921" w:rsidP="003A3921">
      <w:pPr>
        <w:pStyle w:val="ListParagraph"/>
        <w:numPr>
          <w:ilvl w:val="1"/>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kern w:val="2"/>
          <w14:ligatures w14:val="standardContextual"/>
        </w:rPr>
        <w:t xml:space="preserve">Case Management is a </w:t>
      </w:r>
      <w:r w:rsidR="006F7749">
        <w:rPr>
          <w:kern w:val="2"/>
          <w14:ligatures w14:val="standardContextual"/>
        </w:rPr>
        <w:t xml:space="preserve">point of contention and confusion when offered as a service in this survey, as most would consider it related, rather than separate, from the suggested programs. This will be considered for removal for </w:t>
      </w:r>
      <w:r w:rsidR="009F544F">
        <w:rPr>
          <w:kern w:val="2"/>
          <w14:ligatures w14:val="standardContextual"/>
        </w:rPr>
        <w:t xml:space="preserve">future surveys. </w:t>
      </w:r>
      <w:r w:rsidR="006F7749">
        <w:rPr>
          <w:kern w:val="2"/>
          <w14:ligatures w14:val="standardContextual"/>
        </w:rPr>
        <w:t xml:space="preserve"> </w:t>
      </w:r>
    </w:p>
    <w:p w14:paraId="44BAD772" w14:textId="312568D3" w:rsidR="00CF1E07" w:rsidRPr="003A6F1E" w:rsidRDefault="00CF1E07" w:rsidP="004370CD">
      <w:pPr>
        <w:pStyle w:val="ListParagraph"/>
        <w:numPr>
          <w:ilvl w:val="1"/>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kern w:val="2"/>
          <w14:ligatures w14:val="standardContextual"/>
        </w:rPr>
        <w:lastRenderedPageBreak/>
        <w:t xml:space="preserve">The drop in Food Assistance (FY22—6% to FY23—4%) could potentially be a result of the </w:t>
      </w:r>
      <w:r w:rsidR="003A3921">
        <w:rPr>
          <w:kern w:val="2"/>
          <w14:ligatures w14:val="standardContextual"/>
        </w:rPr>
        <w:t xml:space="preserve">new </w:t>
      </w:r>
      <w:r>
        <w:rPr>
          <w:kern w:val="2"/>
          <w14:ligatures w14:val="standardContextual"/>
        </w:rPr>
        <w:t xml:space="preserve">three-year eligibility rates for CSFP. </w:t>
      </w:r>
      <w:r w:rsidR="001D4818">
        <w:rPr>
          <w:kern w:val="2"/>
          <w14:ligatures w14:val="standardContextual"/>
        </w:rPr>
        <w:t xml:space="preserve">This simply means that since applications carry over, there are </w:t>
      </w:r>
      <w:r w:rsidR="003A3921">
        <w:rPr>
          <w:kern w:val="2"/>
          <w14:ligatures w14:val="standardContextual"/>
        </w:rPr>
        <w:t>fewer</w:t>
      </w:r>
      <w:r w:rsidR="001D4818">
        <w:rPr>
          <w:kern w:val="2"/>
          <w14:ligatures w14:val="standardContextual"/>
        </w:rPr>
        <w:t xml:space="preserve"> surveys distributed to new clients. </w:t>
      </w:r>
    </w:p>
    <w:p w14:paraId="07FD4297" w14:textId="4A9BB6DB" w:rsidR="003A6F1E" w:rsidRPr="005F4194" w:rsidRDefault="003A6F1E" w:rsidP="003A6F1E">
      <w:pPr>
        <w:pStyle w:val="ListParagraph"/>
        <w:numPr>
          <w:ilvl w:val="0"/>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kern w:val="2"/>
          <w14:ligatures w14:val="standardContextual"/>
        </w:rPr>
        <w:t xml:space="preserve">The lowest </w:t>
      </w:r>
      <w:r w:rsidR="007348B7">
        <w:rPr>
          <w:kern w:val="2"/>
          <w14:ligatures w14:val="standardContextual"/>
        </w:rPr>
        <w:t>points of client satisfaction continue to be the same as FY22</w:t>
      </w:r>
      <w:r w:rsidR="002B302E">
        <w:rPr>
          <w:kern w:val="2"/>
          <w14:ligatures w14:val="standardContextual"/>
        </w:rPr>
        <w:t xml:space="preserve">, being </w:t>
      </w:r>
      <w:r w:rsidR="00945752">
        <w:rPr>
          <w:kern w:val="2"/>
          <w14:ligatures w14:val="standardContextual"/>
        </w:rPr>
        <w:t>“Staff told me about other SMCAA programs that might be helpful to me” (FY22</w:t>
      </w:r>
      <w:r w:rsidR="00711B45">
        <w:rPr>
          <w:kern w:val="2"/>
          <w14:ligatures w14:val="standardContextual"/>
        </w:rPr>
        <w:t>—89%, FY23—92%) and “Staff gave me information about other programs outside of SMCAA that might be helpful to me, including how to contact those other programs” (</w:t>
      </w:r>
      <w:r w:rsidR="00A86983">
        <w:rPr>
          <w:kern w:val="2"/>
          <w14:ligatures w14:val="standardContextual"/>
        </w:rPr>
        <w:t>FY22—87%, FY23—89%). While they are on the increase as compared to the previous fiscal year,</w:t>
      </w:r>
      <w:r w:rsidR="002B302E">
        <w:rPr>
          <w:kern w:val="2"/>
          <w14:ligatures w14:val="standardContextual"/>
        </w:rPr>
        <w:t xml:space="preserve"> satisfaction ratings and comments</w:t>
      </w:r>
      <w:r w:rsidR="002C3ABE">
        <w:rPr>
          <w:kern w:val="2"/>
          <w14:ligatures w14:val="standardContextual"/>
        </w:rPr>
        <w:t xml:space="preserve"> show </w:t>
      </w:r>
      <w:r w:rsidR="002B302E">
        <w:rPr>
          <w:kern w:val="2"/>
          <w14:ligatures w14:val="standardContextual"/>
        </w:rPr>
        <w:t>there remains room for improvement in these areas.</w:t>
      </w:r>
      <w:r w:rsidR="00BC151D">
        <w:rPr>
          <w:kern w:val="2"/>
          <w14:ligatures w14:val="standardContextual"/>
        </w:rPr>
        <w:t xml:space="preserve"> As a component of de-siloing the Weatherization Department, </w:t>
      </w:r>
      <w:r w:rsidR="00DC2174">
        <w:rPr>
          <w:kern w:val="2"/>
          <w14:ligatures w14:val="standardContextual"/>
        </w:rPr>
        <w:t>Weatherization staff is now being cross-trained in all programs</w:t>
      </w:r>
      <w:r w:rsidR="00C30DC1">
        <w:rPr>
          <w:kern w:val="2"/>
          <w14:ligatures w14:val="standardContextual"/>
        </w:rPr>
        <w:t xml:space="preserve"> and will be able to further assist clients</w:t>
      </w:r>
      <w:r w:rsidR="002C3ABE">
        <w:rPr>
          <w:kern w:val="2"/>
          <w14:ligatures w14:val="standardContextual"/>
        </w:rPr>
        <w:t xml:space="preserve"> with sharing </w:t>
      </w:r>
      <w:r w:rsidR="004C6071">
        <w:rPr>
          <w:kern w:val="2"/>
          <w14:ligatures w14:val="standardContextual"/>
        </w:rPr>
        <w:t xml:space="preserve">additional program information. </w:t>
      </w:r>
    </w:p>
    <w:p w14:paraId="02DF3710" w14:textId="51038D66" w:rsidR="005F4194" w:rsidRPr="009808BF" w:rsidRDefault="005F4194" w:rsidP="003A6F1E">
      <w:pPr>
        <w:pStyle w:val="ListParagraph"/>
        <w:numPr>
          <w:ilvl w:val="0"/>
          <w:numId w:val="10"/>
        </w:numPr>
        <w:spacing w:after="160"/>
        <w:rPr>
          <w:color w:val="4472C4" w:themeColor="accent1"/>
          <w:kern w:val="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rPr>
      </w:pPr>
      <w:r>
        <w:rPr>
          <w:kern w:val="2"/>
          <w14:ligatures w14:val="standardContextual"/>
        </w:rPr>
        <w:t xml:space="preserve">Only two survey questions showed a </w:t>
      </w:r>
      <w:r w:rsidR="001578B6">
        <w:rPr>
          <w:kern w:val="2"/>
          <w14:ligatures w14:val="standardContextual"/>
        </w:rPr>
        <w:t xml:space="preserve">slight </w:t>
      </w:r>
      <w:r>
        <w:rPr>
          <w:kern w:val="2"/>
          <w14:ligatures w14:val="standardContextual"/>
        </w:rPr>
        <w:t>decline in satisfaction, “</w:t>
      </w:r>
      <w:r w:rsidR="008F52F1">
        <w:rPr>
          <w:kern w:val="2"/>
          <w14:ligatures w14:val="standardContextual"/>
        </w:rPr>
        <w:t>My needs were met based on the services this program could provide to me,” (FY22</w:t>
      </w:r>
      <w:r w:rsidR="005E2052">
        <w:rPr>
          <w:kern w:val="2"/>
          <w14:ligatures w14:val="standardContextual"/>
        </w:rPr>
        <w:t>—98%, FY23—97%), and “</w:t>
      </w:r>
      <w:r w:rsidR="001578B6">
        <w:rPr>
          <w:kern w:val="2"/>
          <w14:ligatures w14:val="standardContextual"/>
        </w:rPr>
        <w:t>Staff explained all paperwork to me and answered my questions” (FY22—97%, FY23—96%).</w:t>
      </w:r>
      <w:r w:rsidR="00C30DC1">
        <w:rPr>
          <w:kern w:val="2"/>
          <w14:ligatures w14:val="standardContextual"/>
        </w:rPr>
        <w:t xml:space="preserve"> While </w:t>
      </w:r>
      <w:r w:rsidR="00036C2A">
        <w:rPr>
          <w:kern w:val="2"/>
          <w14:ligatures w14:val="standardContextual"/>
        </w:rPr>
        <w:t xml:space="preserve">a </w:t>
      </w:r>
      <w:r w:rsidR="00036C2A" w:rsidRPr="005A0ECD">
        <w:rPr>
          <w:kern w:val="2"/>
          <w14:ligatures w14:val="standardContextual"/>
        </w:rPr>
        <w:t>decrease in</w:t>
      </w:r>
      <w:r w:rsidR="005A0ECD">
        <w:rPr>
          <w:kern w:val="2"/>
          <w14:ligatures w14:val="standardContextual"/>
        </w:rPr>
        <w:t xml:space="preserve"> funding available during the height of</w:t>
      </w:r>
      <w:r w:rsidR="00036C2A" w:rsidRPr="005A0ECD">
        <w:rPr>
          <w:kern w:val="2"/>
          <w14:ligatures w14:val="standardContextual"/>
        </w:rPr>
        <w:t xml:space="preserve"> COVID-19 </w:t>
      </w:r>
      <w:r w:rsidR="00036C2A">
        <w:rPr>
          <w:kern w:val="2"/>
          <w14:ligatures w14:val="standardContextual"/>
        </w:rPr>
        <w:t xml:space="preserve">could provide a potential reasoning to why clients’ needs are being met at a lesser level, </w:t>
      </w:r>
      <w:r w:rsidR="00DC030A">
        <w:rPr>
          <w:kern w:val="2"/>
          <w14:ligatures w14:val="standardContextual"/>
        </w:rPr>
        <w:t xml:space="preserve">staff </w:t>
      </w:r>
      <w:r w:rsidR="009808BF">
        <w:rPr>
          <w:kern w:val="2"/>
          <w14:ligatures w14:val="standardContextual"/>
        </w:rPr>
        <w:t xml:space="preserve">training will continue to </w:t>
      </w:r>
      <w:r w:rsidR="00D3051E">
        <w:rPr>
          <w:kern w:val="2"/>
          <w14:ligatures w14:val="standardContextual"/>
        </w:rPr>
        <w:t>stress</w:t>
      </w:r>
      <w:r w:rsidR="009808BF">
        <w:rPr>
          <w:kern w:val="2"/>
          <w14:ligatures w14:val="standardContextual"/>
        </w:rPr>
        <w:t xml:space="preserve"> the importance of explaining paperwork, referring</w:t>
      </w:r>
      <w:r w:rsidR="00D3051E">
        <w:rPr>
          <w:kern w:val="2"/>
          <w14:ligatures w14:val="standardContextual"/>
        </w:rPr>
        <w:t xml:space="preserve"> clients to</w:t>
      </w:r>
      <w:r w:rsidR="009808BF">
        <w:rPr>
          <w:kern w:val="2"/>
          <w14:ligatures w14:val="standardContextual"/>
        </w:rPr>
        <w:t xml:space="preserve"> programs both inside and outside of SMCAA, and being available for questions. </w:t>
      </w:r>
    </w:p>
    <w:p w14:paraId="62CD5D9D" w14:textId="0C8024F2" w:rsidR="00220C7A" w:rsidRDefault="009808BF" w:rsidP="002836AC">
      <w:pPr>
        <w:pStyle w:val="ListParagraph"/>
        <w:numPr>
          <w:ilvl w:val="0"/>
          <w:numId w:val="10"/>
        </w:numPr>
        <w:spacing w:after="160"/>
      </w:pPr>
      <w:r w:rsidRPr="002836AC">
        <w:rPr>
          <w:kern w:val="2"/>
          <w14:ligatures w14:val="standardContextual"/>
        </w:rPr>
        <w:t xml:space="preserve">Despite this, </w:t>
      </w:r>
      <w:r w:rsidR="008276D5" w:rsidRPr="002836AC">
        <w:rPr>
          <w:kern w:val="2"/>
          <w14:ligatures w14:val="standardContextual"/>
        </w:rPr>
        <w:t>overall comments were glowingly positive</w:t>
      </w:r>
      <w:r w:rsidR="001628BC" w:rsidRPr="002836AC">
        <w:rPr>
          <w:kern w:val="2"/>
          <w14:ligatures w14:val="standardContextual"/>
        </w:rPr>
        <w:t xml:space="preserve">, </w:t>
      </w:r>
      <w:r w:rsidR="008276D5" w:rsidRPr="002836AC">
        <w:rPr>
          <w:kern w:val="2"/>
          <w14:ligatures w14:val="standardContextual"/>
        </w:rPr>
        <w:t>not only</w:t>
      </w:r>
      <w:r w:rsidR="001628BC" w:rsidRPr="002836AC">
        <w:rPr>
          <w:kern w:val="2"/>
          <w14:ligatures w14:val="standardContextual"/>
        </w:rPr>
        <w:t xml:space="preserve"> for</w:t>
      </w:r>
      <w:r w:rsidR="008276D5" w:rsidRPr="002836AC">
        <w:rPr>
          <w:kern w:val="2"/>
          <w14:ligatures w14:val="standardContextual"/>
        </w:rPr>
        <w:t xml:space="preserve"> the organization and its services, but</w:t>
      </w:r>
      <w:r w:rsidR="0006632C" w:rsidRPr="002836AC">
        <w:rPr>
          <w:kern w:val="2"/>
          <w14:ligatures w14:val="standardContextual"/>
        </w:rPr>
        <w:t xml:space="preserve"> particularly for</w:t>
      </w:r>
      <w:r w:rsidR="008276D5" w:rsidRPr="002836AC">
        <w:rPr>
          <w:kern w:val="2"/>
          <w14:ligatures w14:val="standardContextual"/>
        </w:rPr>
        <w:t xml:space="preserve"> the staff’s attitude and aid. </w:t>
      </w:r>
    </w:p>
    <w:sectPr w:rsidR="00220C7A" w:rsidSect="0094546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4D1C" w14:textId="77777777" w:rsidR="0094546D" w:rsidRDefault="0094546D" w:rsidP="00981AE0">
      <w:pPr>
        <w:spacing w:line="240" w:lineRule="auto"/>
      </w:pPr>
      <w:r>
        <w:separator/>
      </w:r>
    </w:p>
  </w:endnote>
  <w:endnote w:type="continuationSeparator" w:id="0">
    <w:p w14:paraId="1C26424F" w14:textId="77777777" w:rsidR="0094546D" w:rsidRDefault="0094546D" w:rsidP="00981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D66" w14:textId="77777777" w:rsidR="00EC430D" w:rsidRDefault="00EC4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328427"/>
      <w:docPartObj>
        <w:docPartGallery w:val="Page Numbers (Bottom of Page)"/>
        <w:docPartUnique/>
      </w:docPartObj>
    </w:sdtPr>
    <w:sdtContent>
      <w:sdt>
        <w:sdtPr>
          <w:id w:val="-1769616900"/>
          <w:docPartObj>
            <w:docPartGallery w:val="Page Numbers (Top of Page)"/>
            <w:docPartUnique/>
          </w:docPartObj>
        </w:sdtPr>
        <w:sdtContent>
          <w:p w14:paraId="2A66CB46" w14:textId="33C6C4BB" w:rsidR="00EC430D" w:rsidRDefault="00DC71DC">
            <w:pPr>
              <w:pStyle w:val="Footer"/>
              <w:jc w:val="right"/>
            </w:pPr>
            <w:r>
              <w:t>FY Client Satisfaction Survey Report</w:t>
            </w:r>
            <w:r w:rsidR="00A71B41">
              <w:t xml:space="preserve">                                     </w:t>
            </w:r>
            <w:r w:rsidR="00EC430D">
              <w:t xml:space="preserve">Page </w:t>
            </w:r>
            <w:r w:rsidR="00EC430D">
              <w:rPr>
                <w:b/>
                <w:bCs/>
                <w:sz w:val="24"/>
                <w:szCs w:val="24"/>
              </w:rPr>
              <w:fldChar w:fldCharType="begin"/>
            </w:r>
            <w:r w:rsidR="00EC430D">
              <w:rPr>
                <w:b/>
                <w:bCs/>
              </w:rPr>
              <w:instrText xml:space="preserve"> PAGE </w:instrText>
            </w:r>
            <w:r w:rsidR="00EC430D">
              <w:rPr>
                <w:b/>
                <w:bCs/>
                <w:sz w:val="24"/>
                <w:szCs w:val="24"/>
              </w:rPr>
              <w:fldChar w:fldCharType="separate"/>
            </w:r>
            <w:r w:rsidR="00EC430D">
              <w:rPr>
                <w:b/>
                <w:bCs/>
                <w:noProof/>
              </w:rPr>
              <w:t>2</w:t>
            </w:r>
            <w:r w:rsidR="00EC430D">
              <w:rPr>
                <w:b/>
                <w:bCs/>
                <w:sz w:val="24"/>
                <w:szCs w:val="24"/>
              </w:rPr>
              <w:fldChar w:fldCharType="end"/>
            </w:r>
            <w:r w:rsidR="00EC430D">
              <w:t xml:space="preserve"> of </w:t>
            </w:r>
            <w:r w:rsidR="00EC430D">
              <w:rPr>
                <w:b/>
                <w:bCs/>
                <w:sz w:val="24"/>
                <w:szCs w:val="24"/>
              </w:rPr>
              <w:fldChar w:fldCharType="begin"/>
            </w:r>
            <w:r w:rsidR="00EC430D">
              <w:rPr>
                <w:b/>
                <w:bCs/>
              </w:rPr>
              <w:instrText xml:space="preserve"> NUMPAGES  </w:instrText>
            </w:r>
            <w:r w:rsidR="00EC430D">
              <w:rPr>
                <w:b/>
                <w:bCs/>
                <w:sz w:val="24"/>
                <w:szCs w:val="24"/>
              </w:rPr>
              <w:fldChar w:fldCharType="separate"/>
            </w:r>
            <w:r w:rsidR="00EC430D">
              <w:rPr>
                <w:b/>
                <w:bCs/>
                <w:noProof/>
              </w:rPr>
              <w:t>2</w:t>
            </w:r>
            <w:r w:rsidR="00EC430D">
              <w:rPr>
                <w:b/>
                <w:bCs/>
                <w:sz w:val="24"/>
                <w:szCs w:val="24"/>
              </w:rPr>
              <w:fldChar w:fldCharType="end"/>
            </w:r>
          </w:p>
        </w:sdtContent>
      </w:sdt>
    </w:sdtContent>
  </w:sdt>
  <w:p w14:paraId="10848578" w14:textId="77777777" w:rsidR="00981AE0" w:rsidRDefault="00981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00B2" w14:textId="77777777" w:rsidR="00EC430D" w:rsidRDefault="00EC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8479" w14:textId="77777777" w:rsidR="0094546D" w:rsidRDefault="0094546D" w:rsidP="00981AE0">
      <w:pPr>
        <w:spacing w:line="240" w:lineRule="auto"/>
      </w:pPr>
      <w:r>
        <w:separator/>
      </w:r>
    </w:p>
  </w:footnote>
  <w:footnote w:type="continuationSeparator" w:id="0">
    <w:p w14:paraId="33047B1F" w14:textId="77777777" w:rsidR="0094546D" w:rsidRDefault="0094546D" w:rsidP="00981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1808" w14:textId="77777777" w:rsidR="00EC430D" w:rsidRDefault="00EC4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3832" w14:textId="77777777" w:rsidR="00EC430D" w:rsidRDefault="00EC4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1991" w14:textId="77777777" w:rsidR="00EC430D" w:rsidRDefault="00EC4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237"/>
    <w:multiLevelType w:val="hybridMultilevel"/>
    <w:tmpl w:val="0860B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97D16"/>
    <w:multiLevelType w:val="hybridMultilevel"/>
    <w:tmpl w:val="81B0A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B7EE8"/>
    <w:multiLevelType w:val="hybridMultilevel"/>
    <w:tmpl w:val="B462C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14CC"/>
    <w:multiLevelType w:val="hybridMultilevel"/>
    <w:tmpl w:val="FD369F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7D521B"/>
    <w:multiLevelType w:val="hybridMultilevel"/>
    <w:tmpl w:val="183C2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8C56D6"/>
    <w:multiLevelType w:val="hybridMultilevel"/>
    <w:tmpl w:val="1AEC2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B21414"/>
    <w:multiLevelType w:val="hybridMultilevel"/>
    <w:tmpl w:val="E83859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363B85"/>
    <w:multiLevelType w:val="hybridMultilevel"/>
    <w:tmpl w:val="5218E5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9B5D08"/>
    <w:multiLevelType w:val="hybridMultilevel"/>
    <w:tmpl w:val="7206C2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E4748"/>
    <w:multiLevelType w:val="hybridMultilevel"/>
    <w:tmpl w:val="A67448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157270"/>
    <w:multiLevelType w:val="hybridMultilevel"/>
    <w:tmpl w:val="F1E47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6877136">
    <w:abstractNumId w:val="6"/>
  </w:num>
  <w:num w:numId="2" w16cid:durableId="474568699">
    <w:abstractNumId w:val="10"/>
  </w:num>
  <w:num w:numId="3" w16cid:durableId="1825202378">
    <w:abstractNumId w:val="9"/>
  </w:num>
  <w:num w:numId="4" w16cid:durableId="293751375">
    <w:abstractNumId w:val="2"/>
  </w:num>
  <w:num w:numId="5" w16cid:durableId="1740443372">
    <w:abstractNumId w:val="4"/>
  </w:num>
  <w:num w:numId="6" w16cid:durableId="773208352">
    <w:abstractNumId w:val="7"/>
  </w:num>
  <w:num w:numId="7" w16cid:durableId="1301031725">
    <w:abstractNumId w:val="5"/>
  </w:num>
  <w:num w:numId="8" w16cid:durableId="135150379">
    <w:abstractNumId w:val="3"/>
  </w:num>
  <w:num w:numId="9" w16cid:durableId="1629582073">
    <w:abstractNumId w:val="0"/>
  </w:num>
  <w:num w:numId="10" w16cid:durableId="136647657">
    <w:abstractNumId w:val="8"/>
  </w:num>
  <w:num w:numId="11" w16cid:durableId="12840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99"/>
    <w:rsid w:val="00001FE4"/>
    <w:rsid w:val="00013492"/>
    <w:rsid w:val="00022B30"/>
    <w:rsid w:val="0002326A"/>
    <w:rsid w:val="00024EA2"/>
    <w:rsid w:val="000252ED"/>
    <w:rsid w:val="0002678D"/>
    <w:rsid w:val="000275C2"/>
    <w:rsid w:val="0003478C"/>
    <w:rsid w:val="00034F2D"/>
    <w:rsid w:val="0003655C"/>
    <w:rsid w:val="00036C2A"/>
    <w:rsid w:val="00040580"/>
    <w:rsid w:val="00040A23"/>
    <w:rsid w:val="00040CEF"/>
    <w:rsid w:val="000435A2"/>
    <w:rsid w:val="00057714"/>
    <w:rsid w:val="00063BA9"/>
    <w:rsid w:val="000652A0"/>
    <w:rsid w:val="0006632C"/>
    <w:rsid w:val="00067557"/>
    <w:rsid w:val="000706E7"/>
    <w:rsid w:val="00072617"/>
    <w:rsid w:val="0007524A"/>
    <w:rsid w:val="000766D3"/>
    <w:rsid w:val="000771D0"/>
    <w:rsid w:val="000773E4"/>
    <w:rsid w:val="00081A98"/>
    <w:rsid w:val="00087308"/>
    <w:rsid w:val="00091BEF"/>
    <w:rsid w:val="00094226"/>
    <w:rsid w:val="000974AD"/>
    <w:rsid w:val="000A0766"/>
    <w:rsid w:val="000A7DF4"/>
    <w:rsid w:val="000C1C66"/>
    <w:rsid w:val="000C3D08"/>
    <w:rsid w:val="000C4B0C"/>
    <w:rsid w:val="000C78C6"/>
    <w:rsid w:val="000D2CA6"/>
    <w:rsid w:val="000D2D65"/>
    <w:rsid w:val="000D4EB5"/>
    <w:rsid w:val="000E0599"/>
    <w:rsid w:val="000E4A73"/>
    <w:rsid w:val="000F3C5F"/>
    <w:rsid w:val="000F436F"/>
    <w:rsid w:val="00100421"/>
    <w:rsid w:val="00101F43"/>
    <w:rsid w:val="00104322"/>
    <w:rsid w:val="00106A13"/>
    <w:rsid w:val="0011032A"/>
    <w:rsid w:val="0011210E"/>
    <w:rsid w:val="00112E86"/>
    <w:rsid w:val="00115157"/>
    <w:rsid w:val="001211BD"/>
    <w:rsid w:val="00122EE8"/>
    <w:rsid w:val="001275E1"/>
    <w:rsid w:val="00134A7F"/>
    <w:rsid w:val="0013664C"/>
    <w:rsid w:val="001400C3"/>
    <w:rsid w:val="0014269C"/>
    <w:rsid w:val="001451EF"/>
    <w:rsid w:val="001571E5"/>
    <w:rsid w:val="001578B6"/>
    <w:rsid w:val="001628BC"/>
    <w:rsid w:val="00163799"/>
    <w:rsid w:val="00165E1B"/>
    <w:rsid w:val="00171701"/>
    <w:rsid w:val="001737F2"/>
    <w:rsid w:val="00183B8B"/>
    <w:rsid w:val="0019146D"/>
    <w:rsid w:val="001917DB"/>
    <w:rsid w:val="00193582"/>
    <w:rsid w:val="001A3B7E"/>
    <w:rsid w:val="001B1C88"/>
    <w:rsid w:val="001C13EE"/>
    <w:rsid w:val="001C4AA2"/>
    <w:rsid w:val="001C7FDF"/>
    <w:rsid w:val="001D254D"/>
    <w:rsid w:val="001D4818"/>
    <w:rsid w:val="001E0249"/>
    <w:rsid w:val="001E0864"/>
    <w:rsid w:val="001E11A0"/>
    <w:rsid w:val="001F3B98"/>
    <w:rsid w:val="001F420A"/>
    <w:rsid w:val="00220C7A"/>
    <w:rsid w:val="002216EE"/>
    <w:rsid w:val="0022635F"/>
    <w:rsid w:val="002352DA"/>
    <w:rsid w:val="0024084D"/>
    <w:rsid w:val="0024444F"/>
    <w:rsid w:val="00246299"/>
    <w:rsid w:val="00257141"/>
    <w:rsid w:val="00257610"/>
    <w:rsid w:val="0026118E"/>
    <w:rsid w:val="00265E81"/>
    <w:rsid w:val="0027021B"/>
    <w:rsid w:val="00273CD0"/>
    <w:rsid w:val="00276ABA"/>
    <w:rsid w:val="00277250"/>
    <w:rsid w:val="00277A12"/>
    <w:rsid w:val="0028097A"/>
    <w:rsid w:val="002836AC"/>
    <w:rsid w:val="00284424"/>
    <w:rsid w:val="002877F4"/>
    <w:rsid w:val="00290195"/>
    <w:rsid w:val="00290766"/>
    <w:rsid w:val="002A14EB"/>
    <w:rsid w:val="002A2182"/>
    <w:rsid w:val="002A3CD7"/>
    <w:rsid w:val="002B1C61"/>
    <w:rsid w:val="002B302E"/>
    <w:rsid w:val="002B71EA"/>
    <w:rsid w:val="002B780E"/>
    <w:rsid w:val="002C1688"/>
    <w:rsid w:val="002C32BD"/>
    <w:rsid w:val="002C3ABE"/>
    <w:rsid w:val="002C4044"/>
    <w:rsid w:val="002C60AE"/>
    <w:rsid w:val="002C72F6"/>
    <w:rsid w:val="002D581B"/>
    <w:rsid w:val="002D7E51"/>
    <w:rsid w:val="002E0635"/>
    <w:rsid w:val="002E0E53"/>
    <w:rsid w:val="002E1D67"/>
    <w:rsid w:val="002E214B"/>
    <w:rsid w:val="002E5FCD"/>
    <w:rsid w:val="0030048C"/>
    <w:rsid w:val="0030081A"/>
    <w:rsid w:val="00307200"/>
    <w:rsid w:val="003133FA"/>
    <w:rsid w:val="003166E0"/>
    <w:rsid w:val="00317675"/>
    <w:rsid w:val="00323560"/>
    <w:rsid w:val="0032437A"/>
    <w:rsid w:val="00325CD3"/>
    <w:rsid w:val="0033175A"/>
    <w:rsid w:val="00336D48"/>
    <w:rsid w:val="00337588"/>
    <w:rsid w:val="00341B1F"/>
    <w:rsid w:val="00344F4B"/>
    <w:rsid w:val="0034596F"/>
    <w:rsid w:val="0034618C"/>
    <w:rsid w:val="00366F74"/>
    <w:rsid w:val="003746D5"/>
    <w:rsid w:val="00375CE4"/>
    <w:rsid w:val="00381E25"/>
    <w:rsid w:val="003863F4"/>
    <w:rsid w:val="003A0896"/>
    <w:rsid w:val="003A2F9E"/>
    <w:rsid w:val="003A3921"/>
    <w:rsid w:val="003A6F1E"/>
    <w:rsid w:val="003A7F1E"/>
    <w:rsid w:val="003B1D57"/>
    <w:rsid w:val="003B1F4E"/>
    <w:rsid w:val="003B46A6"/>
    <w:rsid w:val="003B4DFC"/>
    <w:rsid w:val="003B5772"/>
    <w:rsid w:val="003C12B9"/>
    <w:rsid w:val="003C6440"/>
    <w:rsid w:val="003D15E2"/>
    <w:rsid w:val="003D7A31"/>
    <w:rsid w:val="003E09D4"/>
    <w:rsid w:val="003E0E97"/>
    <w:rsid w:val="003E2032"/>
    <w:rsid w:val="003E2660"/>
    <w:rsid w:val="003F0EEA"/>
    <w:rsid w:val="003F1EB4"/>
    <w:rsid w:val="003F2B9C"/>
    <w:rsid w:val="003F3088"/>
    <w:rsid w:val="003F53E8"/>
    <w:rsid w:val="003F7110"/>
    <w:rsid w:val="00401CC6"/>
    <w:rsid w:val="00414D3B"/>
    <w:rsid w:val="00415D4F"/>
    <w:rsid w:val="00426CD1"/>
    <w:rsid w:val="00434476"/>
    <w:rsid w:val="00435BB1"/>
    <w:rsid w:val="004370CD"/>
    <w:rsid w:val="00437B6A"/>
    <w:rsid w:val="004532B9"/>
    <w:rsid w:val="00453CC5"/>
    <w:rsid w:val="00455D2D"/>
    <w:rsid w:val="004624BA"/>
    <w:rsid w:val="0047467F"/>
    <w:rsid w:val="00475A4F"/>
    <w:rsid w:val="00477CC0"/>
    <w:rsid w:val="00480978"/>
    <w:rsid w:val="00485FC6"/>
    <w:rsid w:val="004919D3"/>
    <w:rsid w:val="00491B29"/>
    <w:rsid w:val="004A14FF"/>
    <w:rsid w:val="004A23C7"/>
    <w:rsid w:val="004A4E25"/>
    <w:rsid w:val="004B0350"/>
    <w:rsid w:val="004B7712"/>
    <w:rsid w:val="004C3711"/>
    <w:rsid w:val="004C6071"/>
    <w:rsid w:val="004D2743"/>
    <w:rsid w:val="004D5378"/>
    <w:rsid w:val="004D578A"/>
    <w:rsid w:val="004E409C"/>
    <w:rsid w:val="004E52CF"/>
    <w:rsid w:val="004F0874"/>
    <w:rsid w:val="005011E0"/>
    <w:rsid w:val="0050212E"/>
    <w:rsid w:val="005054FD"/>
    <w:rsid w:val="00521809"/>
    <w:rsid w:val="00522FA6"/>
    <w:rsid w:val="0052584B"/>
    <w:rsid w:val="005307F7"/>
    <w:rsid w:val="00531F1E"/>
    <w:rsid w:val="00535969"/>
    <w:rsid w:val="00537D9F"/>
    <w:rsid w:val="005508BA"/>
    <w:rsid w:val="00552ED2"/>
    <w:rsid w:val="0055529C"/>
    <w:rsid w:val="00556597"/>
    <w:rsid w:val="00557BEF"/>
    <w:rsid w:val="00575A71"/>
    <w:rsid w:val="00576474"/>
    <w:rsid w:val="00576AE7"/>
    <w:rsid w:val="00576C4B"/>
    <w:rsid w:val="0058159D"/>
    <w:rsid w:val="0058385B"/>
    <w:rsid w:val="005852A2"/>
    <w:rsid w:val="005906FC"/>
    <w:rsid w:val="00597C94"/>
    <w:rsid w:val="005A01FC"/>
    <w:rsid w:val="005A0ECD"/>
    <w:rsid w:val="005A10EB"/>
    <w:rsid w:val="005A1E34"/>
    <w:rsid w:val="005A4AB0"/>
    <w:rsid w:val="005A4F52"/>
    <w:rsid w:val="005B1155"/>
    <w:rsid w:val="005B391D"/>
    <w:rsid w:val="005C11D1"/>
    <w:rsid w:val="005C570F"/>
    <w:rsid w:val="005D7373"/>
    <w:rsid w:val="005E0593"/>
    <w:rsid w:val="005E2052"/>
    <w:rsid w:val="005E6752"/>
    <w:rsid w:val="005E6E4A"/>
    <w:rsid w:val="005E6E55"/>
    <w:rsid w:val="005F257D"/>
    <w:rsid w:val="005F4194"/>
    <w:rsid w:val="005F4283"/>
    <w:rsid w:val="005F531F"/>
    <w:rsid w:val="005F7937"/>
    <w:rsid w:val="00603188"/>
    <w:rsid w:val="00604BD9"/>
    <w:rsid w:val="006050BC"/>
    <w:rsid w:val="0061679E"/>
    <w:rsid w:val="00623AB4"/>
    <w:rsid w:val="00624417"/>
    <w:rsid w:val="00625E47"/>
    <w:rsid w:val="00626BDE"/>
    <w:rsid w:val="00627376"/>
    <w:rsid w:val="00627ECC"/>
    <w:rsid w:val="00631A94"/>
    <w:rsid w:val="00632763"/>
    <w:rsid w:val="0063535F"/>
    <w:rsid w:val="00635EB0"/>
    <w:rsid w:val="0064437F"/>
    <w:rsid w:val="00653E6F"/>
    <w:rsid w:val="00663D9B"/>
    <w:rsid w:val="00671766"/>
    <w:rsid w:val="00680226"/>
    <w:rsid w:val="00691D62"/>
    <w:rsid w:val="006950E8"/>
    <w:rsid w:val="0069690B"/>
    <w:rsid w:val="006A0E73"/>
    <w:rsid w:val="006A0F8F"/>
    <w:rsid w:val="006A2138"/>
    <w:rsid w:val="006A6581"/>
    <w:rsid w:val="006B6064"/>
    <w:rsid w:val="006B6C59"/>
    <w:rsid w:val="006C254E"/>
    <w:rsid w:val="006C667E"/>
    <w:rsid w:val="006D5248"/>
    <w:rsid w:val="006D6B12"/>
    <w:rsid w:val="006E1E23"/>
    <w:rsid w:val="006E5BA7"/>
    <w:rsid w:val="006F05C8"/>
    <w:rsid w:val="006F7749"/>
    <w:rsid w:val="00703D73"/>
    <w:rsid w:val="00711B45"/>
    <w:rsid w:val="007134CE"/>
    <w:rsid w:val="00715238"/>
    <w:rsid w:val="00715AFF"/>
    <w:rsid w:val="00716FAA"/>
    <w:rsid w:val="0072142E"/>
    <w:rsid w:val="00722DC9"/>
    <w:rsid w:val="00733157"/>
    <w:rsid w:val="007348B7"/>
    <w:rsid w:val="007410D8"/>
    <w:rsid w:val="007440FB"/>
    <w:rsid w:val="007507E4"/>
    <w:rsid w:val="0075092B"/>
    <w:rsid w:val="00751DEC"/>
    <w:rsid w:val="00752519"/>
    <w:rsid w:val="00761E0A"/>
    <w:rsid w:val="00763894"/>
    <w:rsid w:val="0076398F"/>
    <w:rsid w:val="00764DC1"/>
    <w:rsid w:val="00765B0A"/>
    <w:rsid w:val="00766149"/>
    <w:rsid w:val="00770805"/>
    <w:rsid w:val="0078078C"/>
    <w:rsid w:val="00792D61"/>
    <w:rsid w:val="007A4049"/>
    <w:rsid w:val="007A723C"/>
    <w:rsid w:val="007B4473"/>
    <w:rsid w:val="007B76AD"/>
    <w:rsid w:val="007C03FC"/>
    <w:rsid w:val="007C19D9"/>
    <w:rsid w:val="007E17FA"/>
    <w:rsid w:val="007E68CC"/>
    <w:rsid w:val="007F02BD"/>
    <w:rsid w:val="007F04DA"/>
    <w:rsid w:val="007F17EA"/>
    <w:rsid w:val="007F4EC2"/>
    <w:rsid w:val="007F7798"/>
    <w:rsid w:val="00802B2B"/>
    <w:rsid w:val="00803BCD"/>
    <w:rsid w:val="00805AF5"/>
    <w:rsid w:val="00822998"/>
    <w:rsid w:val="008276D5"/>
    <w:rsid w:val="00830326"/>
    <w:rsid w:val="0084083C"/>
    <w:rsid w:val="00847978"/>
    <w:rsid w:val="00851B57"/>
    <w:rsid w:val="0085484F"/>
    <w:rsid w:val="00862908"/>
    <w:rsid w:val="00864D2A"/>
    <w:rsid w:val="008718A6"/>
    <w:rsid w:val="00872390"/>
    <w:rsid w:val="00872F21"/>
    <w:rsid w:val="0087398C"/>
    <w:rsid w:val="00881E4E"/>
    <w:rsid w:val="008824F8"/>
    <w:rsid w:val="00883573"/>
    <w:rsid w:val="00884A00"/>
    <w:rsid w:val="00886496"/>
    <w:rsid w:val="00895429"/>
    <w:rsid w:val="008B5DB1"/>
    <w:rsid w:val="008C17EC"/>
    <w:rsid w:val="008C3B3D"/>
    <w:rsid w:val="008C4CF9"/>
    <w:rsid w:val="008C65B7"/>
    <w:rsid w:val="008C67BD"/>
    <w:rsid w:val="008D21EF"/>
    <w:rsid w:val="008E301A"/>
    <w:rsid w:val="008E6C85"/>
    <w:rsid w:val="008E7F2C"/>
    <w:rsid w:val="008F2688"/>
    <w:rsid w:val="008F52F1"/>
    <w:rsid w:val="008F6CCD"/>
    <w:rsid w:val="008F710A"/>
    <w:rsid w:val="00900958"/>
    <w:rsid w:val="00910C0A"/>
    <w:rsid w:val="0091555D"/>
    <w:rsid w:val="00915AE6"/>
    <w:rsid w:val="00927830"/>
    <w:rsid w:val="00931ABD"/>
    <w:rsid w:val="00940299"/>
    <w:rsid w:val="00940F56"/>
    <w:rsid w:val="009430B6"/>
    <w:rsid w:val="0094546D"/>
    <w:rsid w:val="00945752"/>
    <w:rsid w:val="009517BB"/>
    <w:rsid w:val="009520CB"/>
    <w:rsid w:val="00956163"/>
    <w:rsid w:val="00960727"/>
    <w:rsid w:val="00963544"/>
    <w:rsid w:val="00963B17"/>
    <w:rsid w:val="00970653"/>
    <w:rsid w:val="0097638E"/>
    <w:rsid w:val="00977274"/>
    <w:rsid w:val="00977AB9"/>
    <w:rsid w:val="009808BF"/>
    <w:rsid w:val="00981AE0"/>
    <w:rsid w:val="00984462"/>
    <w:rsid w:val="00985B2D"/>
    <w:rsid w:val="0098689D"/>
    <w:rsid w:val="009869CA"/>
    <w:rsid w:val="009951BF"/>
    <w:rsid w:val="00997EB4"/>
    <w:rsid w:val="009A0DD6"/>
    <w:rsid w:val="009A17C5"/>
    <w:rsid w:val="009A7849"/>
    <w:rsid w:val="009B706F"/>
    <w:rsid w:val="009B77E7"/>
    <w:rsid w:val="009B7986"/>
    <w:rsid w:val="009C2D6A"/>
    <w:rsid w:val="009D1EF7"/>
    <w:rsid w:val="009D3F3E"/>
    <w:rsid w:val="009D464F"/>
    <w:rsid w:val="009D714C"/>
    <w:rsid w:val="009E2641"/>
    <w:rsid w:val="009E4675"/>
    <w:rsid w:val="009E4E49"/>
    <w:rsid w:val="009F2467"/>
    <w:rsid w:val="009F2D30"/>
    <w:rsid w:val="009F36DB"/>
    <w:rsid w:val="009F53ED"/>
    <w:rsid w:val="009F544F"/>
    <w:rsid w:val="009F5BE7"/>
    <w:rsid w:val="009F5CAB"/>
    <w:rsid w:val="00A04223"/>
    <w:rsid w:val="00A143E1"/>
    <w:rsid w:val="00A15EC9"/>
    <w:rsid w:val="00A21886"/>
    <w:rsid w:val="00A21A8E"/>
    <w:rsid w:val="00A23730"/>
    <w:rsid w:val="00A31E55"/>
    <w:rsid w:val="00A32A78"/>
    <w:rsid w:val="00A33061"/>
    <w:rsid w:val="00A35D75"/>
    <w:rsid w:val="00A505A6"/>
    <w:rsid w:val="00A521B4"/>
    <w:rsid w:val="00A55489"/>
    <w:rsid w:val="00A57DB1"/>
    <w:rsid w:val="00A60394"/>
    <w:rsid w:val="00A64673"/>
    <w:rsid w:val="00A667CF"/>
    <w:rsid w:val="00A7061A"/>
    <w:rsid w:val="00A71B41"/>
    <w:rsid w:val="00A86983"/>
    <w:rsid w:val="00AA13ED"/>
    <w:rsid w:val="00AA1CDF"/>
    <w:rsid w:val="00AA406E"/>
    <w:rsid w:val="00AB59E8"/>
    <w:rsid w:val="00AB62B4"/>
    <w:rsid w:val="00AB665F"/>
    <w:rsid w:val="00AB666A"/>
    <w:rsid w:val="00AB6867"/>
    <w:rsid w:val="00AB7AF0"/>
    <w:rsid w:val="00AC4338"/>
    <w:rsid w:val="00AC7A05"/>
    <w:rsid w:val="00AD13A6"/>
    <w:rsid w:val="00AD60DA"/>
    <w:rsid w:val="00AE158D"/>
    <w:rsid w:val="00AF49CB"/>
    <w:rsid w:val="00AF4B77"/>
    <w:rsid w:val="00B028CD"/>
    <w:rsid w:val="00B07149"/>
    <w:rsid w:val="00B11297"/>
    <w:rsid w:val="00B14053"/>
    <w:rsid w:val="00B31EFC"/>
    <w:rsid w:val="00B339DE"/>
    <w:rsid w:val="00B34A86"/>
    <w:rsid w:val="00B432FF"/>
    <w:rsid w:val="00B440A4"/>
    <w:rsid w:val="00B46F8D"/>
    <w:rsid w:val="00B50AEB"/>
    <w:rsid w:val="00B569D2"/>
    <w:rsid w:val="00B60983"/>
    <w:rsid w:val="00B62ADE"/>
    <w:rsid w:val="00B743EF"/>
    <w:rsid w:val="00B81699"/>
    <w:rsid w:val="00B84ACA"/>
    <w:rsid w:val="00B8625A"/>
    <w:rsid w:val="00B90DE8"/>
    <w:rsid w:val="00B939CD"/>
    <w:rsid w:val="00B946AD"/>
    <w:rsid w:val="00B962F3"/>
    <w:rsid w:val="00B977A5"/>
    <w:rsid w:val="00BB19EB"/>
    <w:rsid w:val="00BB2E47"/>
    <w:rsid w:val="00BB3629"/>
    <w:rsid w:val="00BB5B7B"/>
    <w:rsid w:val="00BC09FA"/>
    <w:rsid w:val="00BC151D"/>
    <w:rsid w:val="00BC1BBE"/>
    <w:rsid w:val="00BE2254"/>
    <w:rsid w:val="00BE2760"/>
    <w:rsid w:val="00BE6789"/>
    <w:rsid w:val="00BF2AF7"/>
    <w:rsid w:val="00BF7295"/>
    <w:rsid w:val="00C11D7C"/>
    <w:rsid w:val="00C128F8"/>
    <w:rsid w:val="00C16CA5"/>
    <w:rsid w:val="00C30DC1"/>
    <w:rsid w:val="00C32EFD"/>
    <w:rsid w:val="00C41CB0"/>
    <w:rsid w:val="00C423E9"/>
    <w:rsid w:val="00C4379C"/>
    <w:rsid w:val="00C44434"/>
    <w:rsid w:val="00C46251"/>
    <w:rsid w:val="00C534B0"/>
    <w:rsid w:val="00C57EC1"/>
    <w:rsid w:val="00C63CB0"/>
    <w:rsid w:val="00C674D6"/>
    <w:rsid w:val="00C736FE"/>
    <w:rsid w:val="00C86227"/>
    <w:rsid w:val="00CC0FBB"/>
    <w:rsid w:val="00CC155E"/>
    <w:rsid w:val="00CC4621"/>
    <w:rsid w:val="00CC6ACD"/>
    <w:rsid w:val="00CD2328"/>
    <w:rsid w:val="00CD53E0"/>
    <w:rsid w:val="00CD655B"/>
    <w:rsid w:val="00CD6728"/>
    <w:rsid w:val="00CF06EF"/>
    <w:rsid w:val="00CF1E07"/>
    <w:rsid w:val="00CF30F4"/>
    <w:rsid w:val="00CF3BD6"/>
    <w:rsid w:val="00CF62E4"/>
    <w:rsid w:val="00D04CA2"/>
    <w:rsid w:val="00D0543B"/>
    <w:rsid w:val="00D15041"/>
    <w:rsid w:val="00D15F90"/>
    <w:rsid w:val="00D1738E"/>
    <w:rsid w:val="00D17431"/>
    <w:rsid w:val="00D24506"/>
    <w:rsid w:val="00D3051E"/>
    <w:rsid w:val="00D3245A"/>
    <w:rsid w:val="00D378A4"/>
    <w:rsid w:val="00D416EA"/>
    <w:rsid w:val="00D44742"/>
    <w:rsid w:val="00D53B5C"/>
    <w:rsid w:val="00D56F0F"/>
    <w:rsid w:val="00D650D8"/>
    <w:rsid w:val="00D658CF"/>
    <w:rsid w:val="00D65948"/>
    <w:rsid w:val="00D66463"/>
    <w:rsid w:val="00D751D1"/>
    <w:rsid w:val="00D83144"/>
    <w:rsid w:val="00D83A63"/>
    <w:rsid w:val="00D87D01"/>
    <w:rsid w:val="00D93A3C"/>
    <w:rsid w:val="00D94973"/>
    <w:rsid w:val="00D95A86"/>
    <w:rsid w:val="00DA3A2B"/>
    <w:rsid w:val="00DA411F"/>
    <w:rsid w:val="00DA7845"/>
    <w:rsid w:val="00DC0262"/>
    <w:rsid w:val="00DC030A"/>
    <w:rsid w:val="00DC2174"/>
    <w:rsid w:val="00DC2B56"/>
    <w:rsid w:val="00DC2CCD"/>
    <w:rsid w:val="00DC3157"/>
    <w:rsid w:val="00DC71DC"/>
    <w:rsid w:val="00DD1996"/>
    <w:rsid w:val="00DD2151"/>
    <w:rsid w:val="00DD3378"/>
    <w:rsid w:val="00DD413A"/>
    <w:rsid w:val="00DE0A0E"/>
    <w:rsid w:val="00DE4ADC"/>
    <w:rsid w:val="00DF01E9"/>
    <w:rsid w:val="00DF1432"/>
    <w:rsid w:val="00E02F1E"/>
    <w:rsid w:val="00E216A9"/>
    <w:rsid w:val="00E275C4"/>
    <w:rsid w:val="00E36A18"/>
    <w:rsid w:val="00E47DF5"/>
    <w:rsid w:val="00E54B6B"/>
    <w:rsid w:val="00E60B1B"/>
    <w:rsid w:val="00E801EA"/>
    <w:rsid w:val="00E858D3"/>
    <w:rsid w:val="00E8636F"/>
    <w:rsid w:val="00E87087"/>
    <w:rsid w:val="00E94254"/>
    <w:rsid w:val="00E96172"/>
    <w:rsid w:val="00EA2AF8"/>
    <w:rsid w:val="00EA3918"/>
    <w:rsid w:val="00EB1667"/>
    <w:rsid w:val="00EB1D14"/>
    <w:rsid w:val="00EB3565"/>
    <w:rsid w:val="00EC430D"/>
    <w:rsid w:val="00ED6357"/>
    <w:rsid w:val="00EE0DCB"/>
    <w:rsid w:val="00EF0B3E"/>
    <w:rsid w:val="00EF36C9"/>
    <w:rsid w:val="00F01125"/>
    <w:rsid w:val="00F05EE5"/>
    <w:rsid w:val="00F076F0"/>
    <w:rsid w:val="00F077EA"/>
    <w:rsid w:val="00F11772"/>
    <w:rsid w:val="00F1740B"/>
    <w:rsid w:val="00F2393D"/>
    <w:rsid w:val="00F36A12"/>
    <w:rsid w:val="00F40E62"/>
    <w:rsid w:val="00F43D87"/>
    <w:rsid w:val="00F461E8"/>
    <w:rsid w:val="00F500E5"/>
    <w:rsid w:val="00F51AED"/>
    <w:rsid w:val="00F54824"/>
    <w:rsid w:val="00F605CE"/>
    <w:rsid w:val="00F633A9"/>
    <w:rsid w:val="00F717DA"/>
    <w:rsid w:val="00F77138"/>
    <w:rsid w:val="00F8557E"/>
    <w:rsid w:val="00F92B47"/>
    <w:rsid w:val="00FA4ACF"/>
    <w:rsid w:val="00FA4D12"/>
    <w:rsid w:val="00FA711C"/>
    <w:rsid w:val="00FB563D"/>
    <w:rsid w:val="00FC00E3"/>
    <w:rsid w:val="00FC2650"/>
    <w:rsid w:val="00FC3CB5"/>
    <w:rsid w:val="00FD27A7"/>
    <w:rsid w:val="00FD6BA5"/>
    <w:rsid w:val="00FE54B2"/>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D31F6"/>
  <w15:chartTrackingRefBased/>
  <w15:docId w15:val="{22D26B7E-B5B9-4BF3-A5C5-DF016D7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66"/>
    <w:pPr>
      <w:spacing w:after="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09C"/>
    <w:pPr>
      <w:ind w:left="720"/>
      <w:contextualSpacing/>
    </w:pPr>
  </w:style>
  <w:style w:type="paragraph" w:styleId="NoSpacing">
    <w:name w:val="No Spacing"/>
    <w:link w:val="NoSpacingChar"/>
    <w:uiPriority w:val="1"/>
    <w:qFormat/>
    <w:rsid w:val="00981AE0"/>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981AE0"/>
    <w:rPr>
      <w:rFonts w:eastAsiaTheme="minorEastAsia"/>
      <w:kern w:val="0"/>
      <w14:ligatures w14:val="none"/>
    </w:rPr>
  </w:style>
  <w:style w:type="paragraph" w:styleId="Header">
    <w:name w:val="header"/>
    <w:basedOn w:val="Normal"/>
    <w:link w:val="HeaderChar"/>
    <w:uiPriority w:val="99"/>
    <w:unhideWhenUsed/>
    <w:rsid w:val="00981AE0"/>
    <w:pPr>
      <w:tabs>
        <w:tab w:val="center" w:pos="4680"/>
        <w:tab w:val="right" w:pos="9360"/>
      </w:tabs>
      <w:spacing w:line="240" w:lineRule="auto"/>
    </w:pPr>
  </w:style>
  <w:style w:type="character" w:customStyle="1" w:styleId="HeaderChar">
    <w:name w:val="Header Char"/>
    <w:basedOn w:val="DefaultParagraphFont"/>
    <w:link w:val="Header"/>
    <w:uiPriority w:val="99"/>
    <w:rsid w:val="00981AE0"/>
    <w:rPr>
      <w:kern w:val="0"/>
      <w14:ligatures w14:val="none"/>
    </w:rPr>
  </w:style>
  <w:style w:type="paragraph" w:styleId="Footer">
    <w:name w:val="footer"/>
    <w:basedOn w:val="Normal"/>
    <w:link w:val="FooterChar"/>
    <w:uiPriority w:val="99"/>
    <w:unhideWhenUsed/>
    <w:rsid w:val="00981AE0"/>
    <w:pPr>
      <w:tabs>
        <w:tab w:val="center" w:pos="4680"/>
        <w:tab w:val="right" w:pos="9360"/>
      </w:tabs>
      <w:spacing w:line="240" w:lineRule="auto"/>
    </w:pPr>
  </w:style>
  <w:style w:type="character" w:customStyle="1" w:styleId="FooterChar">
    <w:name w:val="Footer Char"/>
    <w:basedOn w:val="DefaultParagraphFont"/>
    <w:link w:val="Footer"/>
    <w:uiPriority w:val="99"/>
    <w:rsid w:val="00981AE0"/>
    <w:rPr>
      <w:kern w:val="0"/>
      <w14:ligatures w14:val="none"/>
    </w:rPr>
  </w:style>
  <w:style w:type="table" w:styleId="TableGrid">
    <w:name w:val="Table Grid"/>
    <w:basedOn w:val="TableNormal"/>
    <w:uiPriority w:val="39"/>
    <w:rsid w:val="00BC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213760519893E-2"/>
          <c:y val="0.15669356216493263"/>
          <c:w val="0.91314187242744949"/>
          <c:h val="0.74209947660744846"/>
        </c:manualLayout>
      </c:layout>
      <c:barChart>
        <c:barDir val="col"/>
        <c:grouping val="clustered"/>
        <c:varyColors val="0"/>
        <c:ser>
          <c:idx val="0"/>
          <c:order val="0"/>
          <c:tx>
            <c:strRef>
              <c:f>Sheet1!$B$1</c:f>
              <c:strCache>
                <c:ptCount val="1"/>
                <c:pt idx="0">
                  <c:v>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Berrien</c:v>
                </c:pt>
                <c:pt idx="1">
                  <c:v>Cass</c:v>
                </c:pt>
                <c:pt idx="2">
                  <c:v>Van Buren</c:v>
                </c:pt>
              </c:strCache>
            </c:strRef>
          </c:cat>
          <c:val>
            <c:numRef>
              <c:f>Sheet1!$B$2:$B$4</c:f>
              <c:numCache>
                <c:formatCode>General</c:formatCode>
                <c:ptCount val="3"/>
                <c:pt idx="0">
                  <c:v>83</c:v>
                </c:pt>
                <c:pt idx="1">
                  <c:v>21</c:v>
                </c:pt>
                <c:pt idx="2">
                  <c:v>48</c:v>
                </c:pt>
              </c:numCache>
            </c:numRef>
          </c:val>
          <c:extLst>
            <c:ext xmlns:c16="http://schemas.microsoft.com/office/drawing/2014/chart" uri="{C3380CC4-5D6E-409C-BE32-E72D297353CC}">
              <c16:uniqueId val="{00000000-85CE-4126-80F0-A0385B6E3CFA}"/>
            </c:ext>
          </c:extLst>
        </c:ser>
        <c:ser>
          <c:idx val="1"/>
          <c:order val="1"/>
          <c:tx>
            <c:strRef>
              <c:f>Sheet1!$C$1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Berrien</c:v>
                </c:pt>
                <c:pt idx="1">
                  <c:v>Cass</c:v>
                </c:pt>
                <c:pt idx="2">
                  <c:v>Van Buren</c:v>
                </c:pt>
              </c:strCache>
            </c:strRef>
          </c:cat>
          <c:val>
            <c:numRef>
              <c:f>Sheet1!$C$2:$C$4</c:f>
              <c:numCache>
                <c:formatCode>General</c:formatCode>
                <c:ptCount val="3"/>
                <c:pt idx="0">
                  <c:v>323</c:v>
                </c:pt>
                <c:pt idx="1">
                  <c:v>34</c:v>
                </c:pt>
                <c:pt idx="2">
                  <c:v>81</c:v>
                </c:pt>
              </c:numCache>
            </c:numRef>
          </c:val>
          <c:extLst>
            <c:ext xmlns:c16="http://schemas.microsoft.com/office/drawing/2014/chart" uri="{C3380CC4-5D6E-409C-BE32-E72D297353CC}">
              <c16:uniqueId val="{00000003-85CE-4126-80F0-A0385B6E3CFA}"/>
            </c:ext>
          </c:extLst>
        </c:ser>
        <c:dLbls>
          <c:dLblPos val="outEnd"/>
          <c:showLegendKey val="0"/>
          <c:showVal val="1"/>
          <c:showCatName val="0"/>
          <c:showSerName val="0"/>
          <c:showPercent val="0"/>
          <c:showBubbleSize val="0"/>
        </c:dLbls>
        <c:gapWidth val="219"/>
        <c:overlap val="-27"/>
        <c:axId val="140598079"/>
        <c:axId val="1426146431"/>
      </c:barChart>
      <c:catAx>
        <c:axId val="140598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6146431"/>
        <c:crosses val="autoZero"/>
        <c:auto val="1"/>
        <c:lblAlgn val="ctr"/>
        <c:lblOffset val="100"/>
        <c:noMultiLvlLbl val="0"/>
      </c:catAx>
      <c:valAx>
        <c:axId val="1426146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598079"/>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0</c:v>
                </c:pt>
                <c:pt idx="1">
                  <c:v>3</c:v>
                </c:pt>
                <c:pt idx="2">
                  <c:v>0</c:v>
                </c:pt>
                <c:pt idx="3">
                  <c:v>13</c:v>
                </c:pt>
                <c:pt idx="4">
                  <c:v>138</c:v>
                </c:pt>
              </c:numCache>
            </c:numRef>
          </c:val>
          <c:extLst>
            <c:ext xmlns:c16="http://schemas.microsoft.com/office/drawing/2014/chart" uri="{C3380CC4-5D6E-409C-BE32-E72D297353CC}">
              <c16:uniqueId val="{00000000-0D1D-44FE-93A0-48B7EF302AA6}"/>
            </c:ext>
          </c:extLst>
        </c:ser>
        <c:dLbls>
          <c:dLblPos val="outEnd"/>
          <c:showLegendKey val="0"/>
          <c:showVal val="1"/>
          <c:showCatName val="0"/>
          <c:showSerName val="0"/>
          <c:showPercent val="0"/>
          <c:showBubbleSize val="0"/>
        </c:dLbls>
        <c:gapWidth val="219"/>
        <c:axId val="210760015"/>
        <c:axId val="144033407"/>
      </c:barChart>
      <c:catAx>
        <c:axId val="2107600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033407"/>
        <c:crosses val="autoZero"/>
        <c:auto val="1"/>
        <c:lblAlgn val="ctr"/>
        <c:lblOffset val="100"/>
        <c:noMultiLvlLbl val="0"/>
      </c:catAx>
      <c:valAx>
        <c:axId val="1440334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60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2</c:v>
                </c:pt>
                <c:pt idx="1">
                  <c:v>4</c:v>
                </c:pt>
                <c:pt idx="2">
                  <c:v>1</c:v>
                </c:pt>
                <c:pt idx="3">
                  <c:v>11</c:v>
                </c:pt>
                <c:pt idx="4">
                  <c:v>135</c:v>
                </c:pt>
              </c:numCache>
            </c:numRef>
          </c:val>
          <c:extLst>
            <c:ext xmlns:c16="http://schemas.microsoft.com/office/drawing/2014/chart" uri="{C3380CC4-5D6E-409C-BE32-E72D297353CC}">
              <c16:uniqueId val="{00000000-3697-47A4-B563-BD3835EBDFDD}"/>
            </c:ext>
          </c:extLst>
        </c:ser>
        <c:dLbls>
          <c:dLblPos val="outEnd"/>
          <c:showLegendKey val="0"/>
          <c:showVal val="1"/>
          <c:showCatName val="0"/>
          <c:showSerName val="0"/>
          <c:showPercent val="0"/>
          <c:showBubbleSize val="0"/>
        </c:dLbls>
        <c:gapWidth val="182"/>
        <c:axId val="1356632159"/>
        <c:axId val="1425090655"/>
      </c:barChart>
      <c:catAx>
        <c:axId val="1356632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5090655"/>
        <c:crosses val="autoZero"/>
        <c:auto val="1"/>
        <c:lblAlgn val="ctr"/>
        <c:lblOffset val="100"/>
        <c:noMultiLvlLbl val="0"/>
      </c:catAx>
      <c:valAx>
        <c:axId val="14250906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632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1</c:v>
                </c:pt>
                <c:pt idx="1">
                  <c:v>3</c:v>
                </c:pt>
                <c:pt idx="2">
                  <c:v>0</c:v>
                </c:pt>
                <c:pt idx="3">
                  <c:v>9</c:v>
                </c:pt>
                <c:pt idx="4">
                  <c:v>141</c:v>
                </c:pt>
              </c:numCache>
            </c:numRef>
          </c:val>
          <c:extLst>
            <c:ext xmlns:c16="http://schemas.microsoft.com/office/drawing/2014/chart" uri="{C3380CC4-5D6E-409C-BE32-E72D297353CC}">
              <c16:uniqueId val="{00000000-D516-4C4B-AC75-A7C557788928}"/>
            </c:ext>
          </c:extLst>
        </c:ser>
        <c:dLbls>
          <c:dLblPos val="outEnd"/>
          <c:showLegendKey val="0"/>
          <c:showVal val="1"/>
          <c:showCatName val="0"/>
          <c:showSerName val="0"/>
          <c:showPercent val="0"/>
          <c:showBubbleSize val="0"/>
        </c:dLbls>
        <c:gapWidth val="182"/>
        <c:axId val="1508529935"/>
        <c:axId val="1960868944"/>
      </c:barChart>
      <c:catAx>
        <c:axId val="1508529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0868944"/>
        <c:crosses val="autoZero"/>
        <c:auto val="1"/>
        <c:lblAlgn val="ctr"/>
        <c:lblOffset val="100"/>
        <c:noMultiLvlLbl val="0"/>
      </c:catAx>
      <c:valAx>
        <c:axId val="1960868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529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0</c:v>
                </c:pt>
                <c:pt idx="1">
                  <c:v>3</c:v>
                </c:pt>
                <c:pt idx="2">
                  <c:v>1</c:v>
                </c:pt>
                <c:pt idx="3">
                  <c:v>8</c:v>
                </c:pt>
                <c:pt idx="4">
                  <c:v>141</c:v>
                </c:pt>
              </c:numCache>
            </c:numRef>
          </c:val>
          <c:extLst>
            <c:ext xmlns:c16="http://schemas.microsoft.com/office/drawing/2014/chart" uri="{C3380CC4-5D6E-409C-BE32-E72D297353CC}">
              <c16:uniqueId val="{00000000-3B23-4E62-9D01-01D488684A33}"/>
            </c:ext>
          </c:extLst>
        </c:ser>
        <c:dLbls>
          <c:dLblPos val="outEnd"/>
          <c:showLegendKey val="0"/>
          <c:showVal val="1"/>
          <c:showCatName val="0"/>
          <c:showSerName val="0"/>
          <c:showPercent val="0"/>
          <c:showBubbleSize val="0"/>
        </c:dLbls>
        <c:gapWidth val="182"/>
        <c:axId val="1386766143"/>
        <c:axId val="1493053407"/>
      </c:barChart>
      <c:catAx>
        <c:axId val="1386766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053407"/>
        <c:crosses val="autoZero"/>
        <c:auto val="1"/>
        <c:lblAlgn val="ctr"/>
        <c:lblOffset val="100"/>
        <c:noMultiLvlLbl val="0"/>
      </c:catAx>
      <c:valAx>
        <c:axId val="14930534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6766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8</c:v>
                </c:pt>
                <c:pt idx="1">
                  <c:v>5</c:v>
                </c:pt>
                <c:pt idx="2">
                  <c:v>7</c:v>
                </c:pt>
                <c:pt idx="3">
                  <c:v>22</c:v>
                </c:pt>
                <c:pt idx="4">
                  <c:v>110</c:v>
                </c:pt>
              </c:numCache>
            </c:numRef>
          </c:val>
          <c:extLst>
            <c:ext xmlns:c16="http://schemas.microsoft.com/office/drawing/2014/chart" uri="{C3380CC4-5D6E-409C-BE32-E72D297353CC}">
              <c16:uniqueId val="{00000000-C5F1-4939-ACF4-5D06DB66DD97}"/>
            </c:ext>
          </c:extLst>
        </c:ser>
        <c:dLbls>
          <c:dLblPos val="outEnd"/>
          <c:showLegendKey val="0"/>
          <c:showVal val="1"/>
          <c:showCatName val="0"/>
          <c:showSerName val="0"/>
          <c:showPercent val="0"/>
          <c:showBubbleSize val="0"/>
        </c:dLbls>
        <c:gapWidth val="182"/>
        <c:axId val="1386774303"/>
        <c:axId val="1774480496"/>
      </c:barChart>
      <c:catAx>
        <c:axId val="13867743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4480496"/>
        <c:crosses val="autoZero"/>
        <c:auto val="1"/>
        <c:lblAlgn val="ctr"/>
        <c:lblOffset val="100"/>
        <c:noMultiLvlLbl val="0"/>
      </c:catAx>
      <c:valAx>
        <c:axId val="1774480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6774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1</c:v>
                </c:pt>
                <c:pt idx="1">
                  <c:v>4</c:v>
                </c:pt>
                <c:pt idx="2">
                  <c:v>10</c:v>
                </c:pt>
                <c:pt idx="3">
                  <c:v>21</c:v>
                </c:pt>
                <c:pt idx="4">
                  <c:v>93</c:v>
                </c:pt>
              </c:numCache>
            </c:numRef>
          </c:val>
          <c:extLst>
            <c:ext xmlns:c16="http://schemas.microsoft.com/office/drawing/2014/chart" uri="{C3380CC4-5D6E-409C-BE32-E72D297353CC}">
              <c16:uniqueId val="{00000000-0F16-4796-BED6-0513648EB23F}"/>
            </c:ext>
          </c:extLst>
        </c:ser>
        <c:dLbls>
          <c:dLblPos val="outEnd"/>
          <c:showLegendKey val="0"/>
          <c:showVal val="1"/>
          <c:showCatName val="0"/>
          <c:showSerName val="0"/>
          <c:showPercent val="0"/>
          <c:showBubbleSize val="0"/>
        </c:dLbls>
        <c:gapWidth val="182"/>
        <c:axId val="1794549791"/>
        <c:axId val="1516314591"/>
      </c:barChart>
      <c:catAx>
        <c:axId val="17945497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314591"/>
        <c:crosses val="autoZero"/>
        <c:auto val="1"/>
        <c:lblAlgn val="ctr"/>
        <c:lblOffset val="100"/>
        <c:noMultiLvlLbl val="0"/>
      </c:catAx>
      <c:valAx>
        <c:axId val="15163145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45497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Have you used SMCAA services before?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29-457D-998F-D3505C0938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29-457D-998F-D3505C0938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69</c:v>
                </c:pt>
                <c:pt idx="1">
                  <c:v>81</c:v>
                </c:pt>
              </c:numCache>
            </c:numRef>
          </c:val>
          <c:extLst>
            <c:ext xmlns:c16="http://schemas.microsoft.com/office/drawing/2014/chart" uri="{C3380CC4-5D6E-409C-BE32-E72D297353CC}">
              <c16:uniqueId val="{00000000-AB1F-40C8-A9D5-B268A0A5493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Responses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962-41CD-99AC-4C23073ABF5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962-41CD-99AC-4C23073ABF5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962-41CD-99AC-4C23073ABF5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962-41CD-99AC-4C23073ABF5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962-41CD-99AC-4C23073ABF5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962-41CD-99AC-4C23073ABF5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1-4962-41CD-99AC-4C23073ABF5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3-4962-41CD-99AC-4C23073ABF5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5-4962-41CD-99AC-4C23073ABF5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7-4962-41CD-99AC-4C23073ABF5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9-4962-41CD-99AC-4C23073ABF59}"/>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B-4962-41CD-99AC-4C23073ABF59}"/>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Family/Friend</c:v>
                </c:pt>
                <c:pt idx="1">
                  <c:v>Social Media</c:v>
                </c:pt>
                <c:pt idx="2">
                  <c:v>Search Engine</c:v>
                </c:pt>
                <c:pt idx="3">
                  <c:v>Referal from Another Agency</c:v>
                </c:pt>
                <c:pt idx="4">
                  <c:v>Newspaper</c:v>
                </c:pt>
                <c:pt idx="5">
                  <c:v>Other</c:v>
                </c:pt>
              </c:strCache>
            </c:strRef>
          </c:cat>
          <c:val>
            <c:numRef>
              <c:f>Sheet1!$B$2:$B$7</c:f>
              <c:numCache>
                <c:formatCode>General</c:formatCode>
                <c:ptCount val="6"/>
                <c:pt idx="0">
                  <c:v>54</c:v>
                </c:pt>
                <c:pt idx="1">
                  <c:v>4</c:v>
                </c:pt>
                <c:pt idx="2">
                  <c:v>6</c:v>
                </c:pt>
                <c:pt idx="3">
                  <c:v>50</c:v>
                </c:pt>
                <c:pt idx="4">
                  <c:v>1</c:v>
                </c:pt>
                <c:pt idx="5">
                  <c:v>29</c:v>
                </c:pt>
              </c:numCache>
            </c:numRef>
          </c:val>
          <c:extLst>
            <c:ext xmlns:c16="http://schemas.microsoft.com/office/drawing/2014/chart" uri="{C3380CC4-5D6E-409C-BE32-E72D297353CC}">
              <c16:uniqueId val="{0000000C-4962-41CD-99AC-4C23073ABF59}"/>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303296266360744E-2"/>
          <c:y val="2.5670896674593668E-2"/>
          <c:w val="0.92696695822952846"/>
          <c:h val="0.69405820161705234"/>
        </c:manualLayout>
      </c:layout>
      <c:barChart>
        <c:barDir val="col"/>
        <c:grouping val="clustered"/>
        <c:varyColors val="0"/>
        <c:ser>
          <c:idx val="0"/>
          <c:order val="0"/>
          <c:tx>
            <c:strRef>
              <c:f>Sheet1!$B$1</c:f>
              <c:strCache>
                <c:ptCount val="1"/>
                <c:pt idx="0">
                  <c:v>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Food Assistance</c:v>
                </c:pt>
                <c:pt idx="1">
                  <c:v>Utility Assistance</c:v>
                </c:pt>
                <c:pt idx="2">
                  <c:v>Rent/Mortgage</c:v>
                </c:pt>
                <c:pt idx="3">
                  <c:v>Car Repair/Payment</c:v>
                </c:pt>
                <c:pt idx="4">
                  <c:v>Homeless Shelter</c:v>
                </c:pt>
                <c:pt idx="5">
                  <c:v>Home Repair</c:v>
                </c:pt>
                <c:pt idx="6">
                  <c:v>Weatherization</c:v>
                </c:pt>
                <c:pt idx="7">
                  <c:v>Case Management</c:v>
                </c:pt>
                <c:pt idx="8">
                  <c:v>Other</c:v>
                </c:pt>
              </c:strCache>
            </c:strRef>
          </c:cat>
          <c:val>
            <c:numRef>
              <c:f>Sheet1!$B$2:$B$10</c:f>
              <c:numCache>
                <c:formatCode>General</c:formatCode>
                <c:ptCount val="9"/>
                <c:pt idx="0">
                  <c:v>7</c:v>
                </c:pt>
                <c:pt idx="1">
                  <c:v>44</c:v>
                </c:pt>
                <c:pt idx="2">
                  <c:v>31</c:v>
                </c:pt>
                <c:pt idx="3">
                  <c:v>2</c:v>
                </c:pt>
                <c:pt idx="4">
                  <c:v>11</c:v>
                </c:pt>
                <c:pt idx="5">
                  <c:v>4</c:v>
                </c:pt>
                <c:pt idx="6">
                  <c:v>73</c:v>
                </c:pt>
                <c:pt idx="7">
                  <c:v>1</c:v>
                </c:pt>
                <c:pt idx="8">
                  <c:v>5</c:v>
                </c:pt>
              </c:numCache>
            </c:numRef>
          </c:val>
          <c:extLst>
            <c:ext xmlns:c16="http://schemas.microsoft.com/office/drawing/2014/chart" uri="{C3380CC4-5D6E-409C-BE32-E72D297353CC}">
              <c16:uniqueId val="{00000000-084F-407E-9BC4-9540EA5554C8}"/>
            </c:ext>
          </c:extLst>
        </c:ser>
        <c:dLbls>
          <c:dLblPos val="outEnd"/>
          <c:showLegendKey val="0"/>
          <c:showVal val="1"/>
          <c:showCatName val="0"/>
          <c:showSerName val="0"/>
          <c:showPercent val="0"/>
          <c:showBubbleSize val="0"/>
        </c:dLbls>
        <c:gapWidth val="219"/>
        <c:overlap val="-27"/>
        <c:axId val="981220479"/>
        <c:axId val="1376384127"/>
      </c:barChart>
      <c:catAx>
        <c:axId val="981220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384127"/>
        <c:crosses val="autoZero"/>
        <c:auto val="1"/>
        <c:lblAlgn val="ctr"/>
        <c:lblOffset val="100"/>
        <c:noMultiLvlLbl val="0"/>
      </c:catAx>
      <c:valAx>
        <c:axId val="13763841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220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75774106477787"/>
          <c:y val="9.5959595959595953E-2"/>
          <c:w val="0.78567255726060747"/>
          <c:h val="0.71175057663246644"/>
        </c:manualLayout>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5</c:v>
                </c:pt>
                <c:pt idx="1">
                  <c:v>2</c:v>
                </c:pt>
                <c:pt idx="2">
                  <c:v>3</c:v>
                </c:pt>
                <c:pt idx="3">
                  <c:v>16</c:v>
                </c:pt>
                <c:pt idx="4">
                  <c:v>128</c:v>
                </c:pt>
              </c:numCache>
            </c:numRef>
          </c:val>
          <c:extLst>
            <c:ext xmlns:c16="http://schemas.microsoft.com/office/drawing/2014/chart" uri="{C3380CC4-5D6E-409C-BE32-E72D297353CC}">
              <c16:uniqueId val="{00000000-8BE9-4DB4-A992-84270A12E0BE}"/>
            </c:ext>
          </c:extLst>
        </c:ser>
        <c:dLbls>
          <c:dLblPos val="outEnd"/>
          <c:showLegendKey val="0"/>
          <c:showVal val="1"/>
          <c:showCatName val="0"/>
          <c:showSerName val="0"/>
          <c:showPercent val="0"/>
          <c:showBubbleSize val="0"/>
        </c:dLbls>
        <c:gapWidth val="182"/>
        <c:axId val="1342472959"/>
        <c:axId val="215814703"/>
      </c:barChart>
      <c:catAx>
        <c:axId val="1342472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814703"/>
        <c:crosses val="autoZero"/>
        <c:auto val="1"/>
        <c:lblAlgn val="ctr"/>
        <c:lblOffset val="100"/>
        <c:noMultiLvlLbl val="0"/>
      </c:catAx>
      <c:valAx>
        <c:axId val="2158147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472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1</c:v>
                </c:pt>
                <c:pt idx="1">
                  <c:v>2</c:v>
                </c:pt>
                <c:pt idx="2">
                  <c:v>0</c:v>
                </c:pt>
                <c:pt idx="3">
                  <c:v>10</c:v>
                </c:pt>
                <c:pt idx="4">
                  <c:v>139</c:v>
                </c:pt>
              </c:numCache>
            </c:numRef>
          </c:val>
          <c:extLst>
            <c:ext xmlns:c16="http://schemas.microsoft.com/office/drawing/2014/chart" uri="{C3380CC4-5D6E-409C-BE32-E72D297353CC}">
              <c16:uniqueId val="{00000000-1754-470E-907D-BF69B4D53EA1}"/>
            </c:ext>
          </c:extLst>
        </c:ser>
        <c:dLbls>
          <c:dLblPos val="outEnd"/>
          <c:showLegendKey val="0"/>
          <c:showVal val="1"/>
          <c:showCatName val="0"/>
          <c:showSerName val="0"/>
          <c:showPercent val="0"/>
          <c:showBubbleSize val="0"/>
        </c:dLbls>
        <c:gapWidth val="182"/>
        <c:axId val="1387343311"/>
        <c:axId val="1501971391"/>
      </c:barChart>
      <c:catAx>
        <c:axId val="13873433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1971391"/>
        <c:crosses val="autoZero"/>
        <c:auto val="1"/>
        <c:lblAlgn val="ctr"/>
        <c:lblOffset val="100"/>
        <c:noMultiLvlLbl val="0"/>
      </c:catAx>
      <c:valAx>
        <c:axId val="15019713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73433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20</c:v>
                </c:pt>
                <c:pt idx="1">
                  <c:v>1</c:v>
                </c:pt>
                <c:pt idx="2">
                  <c:v>1</c:v>
                </c:pt>
                <c:pt idx="3">
                  <c:v>24</c:v>
                </c:pt>
                <c:pt idx="4">
                  <c:v>99</c:v>
                </c:pt>
              </c:numCache>
            </c:numRef>
          </c:val>
          <c:extLst>
            <c:ext xmlns:c16="http://schemas.microsoft.com/office/drawing/2014/chart" uri="{C3380CC4-5D6E-409C-BE32-E72D297353CC}">
              <c16:uniqueId val="{00000000-091E-4B34-93A0-E13DEBF2F750}"/>
            </c:ext>
          </c:extLst>
        </c:ser>
        <c:dLbls>
          <c:dLblPos val="outEnd"/>
          <c:showLegendKey val="0"/>
          <c:showVal val="1"/>
          <c:showCatName val="0"/>
          <c:showSerName val="0"/>
          <c:showPercent val="0"/>
          <c:showBubbleSize val="0"/>
        </c:dLbls>
        <c:gapWidth val="182"/>
        <c:axId val="1372461007"/>
        <c:axId val="1693026415"/>
      </c:barChart>
      <c:catAx>
        <c:axId val="13724610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026415"/>
        <c:crosses val="autoZero"/>
        <c:auto val="1"/>
        <c:lblAlgn val="ctr"/>
        <c:lblOffset val="100"/>
        <c:noMultiLvlLbl val="0"/>
      </c:catAx>
      <c:valAx>
        <c:axId val="16930264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24610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5</c:v>
                </c:pt>
                <c:pt idx="1">
                  <c:v>2</c:v>
                </c:pt>
                <c:pt idx="2">
                  <c:v>0</c:v>
                </c:pt>
                <c:pt idx="3">
                  <c:v>11</c:v>
                </c:pt>
                <c:pt idx="4">
                  <c:v>136</c:v>
                </c:pt>
              </c:numCache>
            </c:numRef>
          </c:val>
          <c:extLst>
            <c:ext xmlns:c16="http://schemas.microsoft.com/office/drawing/2014/chart" uri="{C3380CC4-5D6E-409C-BE32-E72D297353CC}">
              <c16:uniqueId val="{00000000-2C07-45AC-943A-975387773C88}"/>
            </c:ext>
          </c:extLst>
        </c:ser>
        <c:dLbls>
          <c:dLblPos val="outEnd"/>
          <c:showLegendKey val="0"/>
          <c:showVal val="1"/>
          <c:showCatName val="0"/>
          <c:showSerName val="0"/>
          <c:showPercent val="0"/>
          <c:showBubbleSize val="0"/>
        </c:dLbls>
        <c:gapWidth val="219"/>
        <c:axId val="1508528495"/>
        <c:axId val="1693027407"/>
      </c:barChart>
      <c:catAx>
        <c:axId val="15085284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027407"/>
        <c:crosses val="autoZero"/>
        <c:auto val="1"/>
        <c:lblAlgn val="ctr"/>
        <c:lblOffset val="100"/>
        <c:noMultiLvlLbl val="0"/>
      </c:catAx>
      <c:valAx>
        <c:axId val="169302740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528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N/A</c:v>
                </c:pt>
                <c:pt idx="1">
                  <c:v>Strongly Disagree</c:v>
                </c:pt>
                <c:pt idx="2">
                  <c:v>Disagree</c:v>
                </c:pt>
                <c:pt idx="3">
                  <c:v>Agree</c:v>
                </c:pt>
                <c:pt idx="4">
                  <c:v>Strongly Agree</c:v>
                </c:pt>
              </c:strCache>
            </c:strRef>
          </c:cat>
          <c:val>
            <c:numRef>
              <c:f>Sheet1!$B$2:$B$6</c:f>
              <c:numCache>
                <c:formatCode>General</c:formatCode>
                <c:ptCount val="5"/>
                <c:pt idx="0">
                  <c:v>0</c:v>
                </c:pt>
                <c:pt idx="1">
                  <c:v>2</c:v>
                </c:pt>
                <c:pt idx="2">
                  <c:v>1</c:v>
                </c:pt>
                <c:pt idx="3">
                  <c:v>10</c:v>
                </c:pt>
                <c:pt idx="4">
                  <c:v>141</c:v>
                </c:pt>
              </c:numCache>
            </c:numRef>
          </c:val>
          <c:extLst>
            <c:ext xmlns:c16="http://schemas.microsoft.com/office/drawing/2014/chart" uri="{C3380CC4-5D6E-409C-BE32-E72D297353CC}">
              <c16:uniqueId val="{00000000-EBAF-4DBA-8725-E91405095F43}"/>
            </c:ext>
          </c:extLst>
        </c:ser>
        <c:dLbls>
          <c:dLblPos val="outEnd"/>
          <c:showLegendKey val="0"/>
          <c:showVal val="1"/>
          <c:showCatName val="0"/>
          <c:showSerName val="0"/>
          <c:showPercent val="0"/>
          <c:showBubbleSize val="0"/>
        </c:dLbls>
        <c:gapWidth val="182"/>
        <c:axId val="1386775743"/>
        <c:axId val="1693008063"/>
      </c:barChart>
      <c:catAx>
        <c:axId val="13867757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008063"/>
        <c:crosses val="autoZero"/>
        <c:auto val="1"/>
        <c:lblAlgn val="ctr"/>
        <c:lblOffset val="100"/>
        <c:noMultiLvlLbl val="0"/>
      </c:catAx>
      <c:valAx>
        <c:axId val="16930080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677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16</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Keirnan</dc:creator>
  <cp:keywords/>
  <dc:description/>
  <cp:lastModifiedBy>Shannon Keirnan</cp:lastModifiedBy>
  <cp:revision>591</cp:revision>
  <cp:lastPrinted>2023-10-27T14:44:00Z</cp:lastPrinted>
  <dcterms:created xsi:type="dcterms:W3CDTF">2023-10-25T14:54:00Z</dcterms:created>
  <dcterms:modified xsi:type="dcterms:W3CDTF">2024-01-18T20:01:00Z</dcterms:modified>
</cp:coreProperties>
</file>